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7378" w14:textId="1C2CF19D" w:rsidR="006B120E" w:rsidRPr="00FA13C3" w:rsidRDefault="006B120E" w:rsidP="006B120E">
      <w:pPr>
        <w:spacing w:after="0" w:line="160" w:lineRule="atLeast"/>
        <w:jc w:val="both"/>
        <w:rPr>
          <w:rFonts w:ascii="Arial" w:eastAsia="Arial" w:hAnsi="Arial" w:cs="Arial"/>
          <w:i/>
          <w:color w:val="000000"/>
          <w:spacing w:val="-1"/>
          <w:sz w:val="14"/>
          <w:szCs w:val="14"/>
        </w:rPr>
      </w:pPr>
      <w:r w:rsidRPr="00FA13C3">
        <w:rPr>
          <w:rFonts w:ascii="Arial" w:eastAsia="Arial" w:hAnsi="Arial" w:cs="Arial"/>
          <w:i/>
          <w:color w:val="000000"/>
          <w:sz w:val="14"/>
          <w:szCs w:val="14"/>
        </w:rPr>
        <w:t>©</w:t>
      </w:r>
      <w:r w:rsidRPr="00FA13C3">
        <w:rPr>
          <w:rFonts w:ascii="Arial" w:eastAsia="Arial" w:hAnsi="Arial" w:cs="Arial"/>
          <w:i/>
          <w:color w:val="000000"/>
          <w:spacing w:val="-1"/>
          <w:sz w:val="14"/>
          <w:szCs w:val="14"/>
        </w:rPr>
        <w:t xml:space="preserve"> </w:t>
      </w:r>
      <w:r w:rsidRPr="00FA13C3">
        <w:rPr>
          <w:rFonts w:ascii="Arial" w:eastAsia="Arial" w:hAnsi="Arial" w:cs="Arial"/>
          <w:i/>
          <w:color w:val="000000"/>
          <w:sz w:val="14"/>
          <w:szCs w:val="14"/>
        </w:rPr>
        <w:t>International</w:t>
      </w:r>
      <w:r w:rsidRPr="00FA13C3">
        <w:rPr>
          <w:rFonts w:ascii="Arial" w:eastAsia="Arial" w:hAnsi="Arial" w:cs="Arial"/>
          <w:i/>
          <w:color w:val="000000"/>
          <w:spacing w:val="-1"/>
          <w:sz w:val="14"/>
          <w:szCs w:val="14"/>
        </w:rPr>
        <w:t xml:space="preserve"> Academic Research Journal of </w:t>
      </w:r>
      <w:r w:rsidR="003B752C">
        <w:rPr>
          <w:rFonts w:ascii="Arial" w:eastAsia="Arial" w:hAnsi="Arial" w:cs="Arial"/>
          <w:i/>
          <w:color w:val="000000"/>
          <w:spacing w:val="-1"/>
          <w:sz w:val="14"/>
          <w:szCs w:val="14"/>
        </w:rPr>
        <w:t>Economics and Finance</w:t>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sidR="00F62F76">
        <w:rPr>
          <w:rFonts w:ascii="Arial" w:eastAsia="Arial" w:hAnsi="Arial" w:cs="Arial"/>
          <w:i/>
          <w:color w:val="000000"/>
          <w:spacing w:val="-1"/>
          <w:sz w:val="14"/>
          <w:szCs w:val="14"/>
        </w:rPr>
        <w:t xml:space="preserve">                                  </w:t>
      </w:r>
      <w:r w:rsidRPr="00812D87">
        <w:rPr>
          <w:rFonts w:ascii="Arial" w:eastAsia="Arial" w:hAnsi="Arial" w:cs="Arial"/>
          <w:i/>
          <w:color w:val="000000" w:themeColor="text1"/>
          <w:spacing w:val="-1"/>
          <w:sz w:val="14"/>
          <w:szCs w:val="14"/>
        </w:rPr>
        <w:t>ISSN:2227-1287</w:t>
      </w:r>
    </w:p>
    <w:p w14:paraId="777177D9" w14:textId="77777777" w:rsidR="00F62F76" w:rsidRDefault="006B120E" w:rsidP="006B120E">
      <w:pPr>
        <w:spacing w:after="0" w:line="160" w:lineRule="atLeast"/>
        <w:jc w:val="both"/>
        <w:rPr>
          <w:rFonts w:ascii="Arial" w:eastAsia="Arial" w:hAnsi="Arial" w:cs="Arial"/>
          <w:i/>
          <w:color w:val="000000"/>
          <w:spacing w:val="-1"/>
          <w:sz w:val="14"/>
          <w:szCs w:val="14"/>
        </w:rPr>
      </w:pPr>
      <w:r w:rsidRPr="00DF2646">
        <w:rPr>
          <w:rFonts w:ascii="Arial" w:eastAsia="Arial" w:hAnsi="Arial" w:cs="Arial"/>
          <w:i/>
          <w:color w:val="000000"/>
          <w:spacing w:val="-1"/>
          <w:sz w:val="14"/>
          <w:szCs w:val="14"/>
        </w:rPr>
        <w:t xml:space="preserve">Volume </w:t>
      </w:r>
      <w:r w:rsidR="003B752C">
        <w:rPr>
          <w:rFonts w:ascii="Arial" w:eastAsia="Arial" w:hAnsi="Arial" w:cs="Arial"/>
          <w:i/>
          <w:color w:val="000000"/>
          <w:spacing w:val="-1"/>
          <w:sz w:val="14"/>
          <w:szCs w:val="14"/>
        </w:rPr>
        <w:t>8</w:t>
      </w:r>
      <w:r w:rsidRPr="00DF2646">
        <w:rPr>
          <w:rFonts w:ascii="Arial" w:eastAsia="Arial" w:hAnsi="Arial" w:cs="Arial"/>
          <w:i/>
          <w:color w:val="000000"/>
          <w:spacing w:val="-1"/>
          <w:sz w:val="14"/>
          <w:szCs w:val="14"/>
        </w:rPr>
        <w:t>, Iss</w:t>
      </w:r>
      <w:r>
        <w:rPr>
          <w:rFonts w:ascii="Arial" w:eastAsia="Arial" w:hAnsi="Arial" w:cs="Arial"/>
          <w:i/>
          <w:color w:val="000000"/>
          <w:spacing w:val="-1"/>
          <w:sz w:val="14"/>
          <w:szCs w:val="14"/>
        </w:rPr>
        <w:t>ue</w:t>
      </w:r>
      <w:r w:rsidRPr="00DF2646">
        <w:rPr>
          <w:rFonts w:ascii="Arial" w:eastAsia="Arial" w:hAnsi="Arial" w:cs="Arial"/>
          <w:i/>
          <w:color w:val="000000"/>
          <w:spacing w:val="-1"/>
          <w:sz w:val="14"/>
          <w:szCs w:val="14"/>
        </w:rPr>
        <w:t xml:space="preserve"> No:</w:t>
      </w:r>
      <w:r w:rsidR="003B752C">
        <w:rPr>
          <w:rFonts w:ascii="Arial" w:eastAsia="Arial" w:hAnsi="Arial" w:cs="Arial"/>
          <w:i/>
          <w:color w:val="000000"/>
          <w:spacing w:val="-1"/>
          <w:sz w:val="14"/>
          <w:szCs w:val="14"/>
        </w:rPr>
        <w:t>1</w:t>
      </w:r>
      <w:r w:rsidRPr="00DF2646">
        <w:rPr>
          <w:rFonts w:ascii="Arial" w:eastAsia="Arial" w:hAnsi="Arial" w:cs="Arial"/>
          <w:i/>
          <w:color w:val="000000"/>
          <w:spacing w:val="-1"/>
          <w:sz w:val="14"/>
          <w:szCs w:val="14"/>
        </w:rPr>
        <w:t xml:space="preserve">, </w:t>
      </w:r>
      <w:r w:rsidR="003B752C">
        <w:rPr>
          <w:rFonts w:ascii="Arial" w:eastAsia="Arial" w:hAnsi="Arial" w:cs="Arial"/>
          <w:i/>
          <w:color w:val="000000"/>
          <w:spacing w:val="-1"/>
          <w:sz w:val="14"/>
          <w:szCs w:val="14"/>
        </w:rPr>
        <w:t>December</w:t>
      </w:r>
      <w:r w:rsidRPr="00DF2646">
        <w:rPr>
          <w:rFonts w:ascii="Arial" w:eastAsia="Arial" w:hAnsi="Arial" w:cs="Arial"/>
          <w:i/>
          <w:color w:val="000000"/>
          <w:spacing w:val="-1"/>
          <w:sz w:val="14"/>
          <w:szCs w:val="14"/>
        </w:rPr>
        <w:t xml:space="preserve"> 2025</w:t>
      </w:r>
    </w:p>
    <w:p w14:paraId="33244DF0" w14:textId="660FD935" w:rsidR="00F62F76" w:rsidRDefault="00F62F76" w:rsidP="006B120E">
      <w:pPr>
        <w:spacing w:after="0" w:line="160" w:lineRule="atLeast"/>
        <w:jc w:val="both"/>
        <w:rPr>
          <w:rFonts w:ascii="Arial" w:eastAsia="Arial" w:hAnsi="Arial" w:cs="Arial"/>
          <w:i/>
          <w:color w:val="000000"/>
          <w:spacing w:val="-1"/>
          <w:sz w:val="14"/>
          <w:szCs w:val="14"/>
        </w:rPr>
      </w:pPr>
      <w:r>
        <w:rPr>
          <w:rFonts w:ascii="Arial" w:eastAsia="Arial" w:hAnsi="Arial" w:cs="Arial"/>
          <w:i/>
          <w:color w:val="000000"/>
          <w:spacing w:val="-1"/>
          <w:sz w:val="14"/>
          <w:szCs w:val="14"/>
        </w:rPr>
        <w:t xml:space="preserve">DOI: </w:t>
      </w:r>
      <w:hyperlink r:id="rId7" w:history="1">
        <w:r w:rsidR="00D176D9" w:rsidRPr="00A218E2">
          <w:rPr>
            <w:rStyle w:val="Hyperlink"/>
            <w:rFonts w:ascii="Arial" w:eastAsia="Arial" w:hAnsi="Arial" w:cs="Arial"/>
            <w:i/>
            <w:spacing w:val="-1"/>
            <w:sz w:val="14"/>
            <w:szCs w:val="14"/>
          </w:rPr>
          <w:t>https://doi.org/10.5281/zenodo.17718962</w:t>
        </w:r>
      </w:hyperlink>
    </w:p>
    <w:p w14:paraId="349727A4" w14:textId="77777777" w:rsidR="00D176D9" w:rsidRDefault="00D176D9" w:rsidP="006B120E">
      <w:pPr>
        <w:spacing w:after="0" w:line="160" w:lineRule="atLeast"/>
        <w:jc w:val="both"/>
        <w:rPr>
          <w:rFonts w:ascii="Arial" w:eastAsia="Arial" w:hAnsi="Arial" w:cs="Arial"/>
          <w:i/>
          <w:color w:val="000000"/>
          <w:spacing w:val="-1"/>
          <w:sz w:val="14"/>
          <w:szCs w:val="14"/>
        </w:rPr>
      </w:pPr>
    </w:p>
    <w:p w14:paraId="6FB639F0" w14:textId="55E78FCF" w:rsidR="006B120E" w:rsidRPr="00F62F76" w:rsidRDefault="003B752C" w:rsidP="00F62F76">
      <w:pPr>
        <w:spacing w:after="0" w:line="160" w:lineRule="atLeast"/>
        <w:jc w:val="both"/>
        <w:rPr>
          <w:rFonts w:ascii="Arial" w:eastAsia="Arial" w:hAnsi="Arial" w:cs="Arial"/>
          <w:i/>
          <w:color w:val="000000"/>
          <w:spacing w:val="-1"/>
          <w:sz w:val="14"/>
          <w:szCs w:val="14"/>
        </w:rPr>
      </w:pP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p>
    <w:p w14:paraId="643477AF" w14:textId="6C395D1E" w:rsidR="00CD0B4F" w:rsidRDefault="00CD0B4F" w:rsidP="006B120E">
      <w:pPr>
        <w:spacing w:after="0" w:line="240" w:lineRule="auto"/>
        <w:jc w:val="center"/>
        <w:outlineLvl w:val="0"/>
        <w:rPr>
          <w:rFonts w:ascii="Times New Roman" w:eastAsia="Times New Roman" w:hAnsi="Times New Roman" w:cs="Times New Roman"/>
          <w:b/>
          <w:bCs/>
          <w:kern w:val="36"/>
          <w:sz w:val="32"/>
          <w:szCs w:val="32"/>
          <w:lang w:eastAsia="en-IN"/>
        </w:rPr>
      </w:pPr>
      <w:r w:rsidRPr="00E703AC">
        <w:rPr>
          <w:rFonts w:ascii="Times New Roman" w:eastAsia="Times New Roman" w:hAnsi="Times New Roman" w:cs="Times New Roman"/>
          <w:b/>
          <w:bCs/>
          <w:kern w:val="36"/>
          <w:sz w:val="32"/>
          <w:szCs w:val="32"/>
          <w:lang w:eastAsia="en-IN"/>
        </w:rPr>
        <w:t>Coursera: Digital Transformation, Monetisation, and Governance</w:t>
      </w:r>
    </w:p>
    <w:p w14:paraId="5EFCC89F" w14:textId="77777777" w:rsidR="006B120E" w:rsidRPr="006B120E" w:rsidRDefault="006B120E" w:rsidP="006B120E">
      <w:pPr>
        <w:spacing w:after="0" w:line="240" w:lineRule="auto"/>
        <w:jc w:val="center"/>
        <w:outlineLvl w:val="0"/>
        <w:rPr>
          <w:rFonts w:ascii="Times New Roman" w:eastAsia="Times New Roman" w:hAnsi="Times New Roman" w:cs="Times New Roman"/>
          <w:b/>
          <w:bCs/>
          <w:kern w:val="36"/>
          <w:sz w:val="12"/>
          <w:szCs w:val="12"/>
          <w:lang w:eastAsia="en-I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4050"/>
      </w:tblGrid>
      <w:tr w:rsidR="00E703AC" w14:paraId="088FDB03" w14:textId="77777777" w:rsidTr="00E703AC">
        <w:trPr>
          <w:jc w:val="center"/>
        </w:trPr>
        <w:tc>
          <w:tcPr>
            <w:tcW w:w="3865" w:type="dxa"/>
          </w:tcPr>
          <w:p w14:paraId="029DEDC6" w14:textId="77777777" w:rsidR="006B120E" w:rsidRDefault="006B120E" w:rsidP="00E703AC">
            <w:pPr>
              <w:jc w:val="center"/>
              <w:outlineLvl w:val="0"/>
              <w:rPr>
                <w:rFonts w:ascii="Arial" w:eastAsia="Times New Roman" w:hAnsi="Arial" w:cs="Arial"/>
                <w:b/>
                <w:bCs/>
                <w:kern w:val="36"/>
                <w:sz w:val="16"/>
                <w:szCs w:val="16"/>
                <w:lang w:eastAsia="en-IN"/>
              </w:rPr>
            </w:pPr>
          </w:p>
          <w:p w14:paraId="3CB0AD3D" w14:textId="77777777" w:rsidR="006B120E" w:rsidRDefault="006B120E" w:rsidP="00E703AC">
            <w:pPr>
              <w:jc w:val="center"/>
              <w:outlineLvl w:val="0"/>
              <w:rPr>
                <w:rFonts w:ascii="Arial" w:eastAsia="Times New Roman" w:hAnsi="Arial" w:cs="Arial"/>
                <w:b/>
                <w:bCs/>
                <w:kern w:val="36"/>
                <w:sz w:val="16"/>
                <w:szCs w:val="16"/>
                <w:lang w:eastAsia="en-IN"/>
              </w:rPr>
            </w:pPr>
          </w:p>
          <w:p w14:paraId="08BC1B8C" w14:textId="0D9232B9" w:rsidR="00E703AC" w:rsidRPr="005E6CCB" w:rsidRDefault="00E703AC" w:rsidP="00E703AC">
            <w:pPr>
              <w:jc w:val="center"/>
              <w:outlineLvl w:val="0"/>
              <w:rPr>
                <w:rFonts w:ascii="Arial" w:eastAsia="Times New Roman" w:hAnsi="Arial" w:cs="Arial"/>
                <w:b/>
                <w:bCs/>
                <w:i/>
                <w:iCs/>
                <w:kern w:val="36"/>
                <w:sz w:val="16"/>
                <w:szCs w:val="16"/>
                <w:lang w:eastAsia="en-IN"/>
              </w:rPr>
            </w:pPr>
            <w:r w:rsidRPr="005E6CCB">
              <w:rPr>
                <w:rFonts w:ascii="Arial" w:eastAsia="Times New Roman" w:hAnsi="Arial" w:cs="Arial"/>
                <w:b/>
                <w:bCs/>
                <w:i/>
                <w:iCs/>
                <w:kern w:val="36"/>
                <w:sz w:val="16"/>
                <w:szCs w:val="16"/>
                <w:lang w:eastAsia="en-IN"/>
              </w:rPr>
              <w:t>Maram Naga Ranvitha Laxmi</w:t>
            </w:r>
          </w:p>
          <w:p w14:paraId="20910B87" w14:textId="77777777" w:rsidR="00E703AC" w:rsidRDefault="00E703AC" w:rsidP="00E703AC">
            <w:pPr>
              <w:jc w:val="center"/>
              <w:rPr>
                <w:rFonts w:ascii="Arial" w:hAnsi="Arial" w:cs="Arial"/>
                <w:sz w:val="16"/>
                <w:szCs w:val="16"/>
              </w:rPr>
            </w:pPr>
            <w:r w:rsidRPr="00E703AC">
              <w:rPr>
                <w:rFonts w:ascii="Arial" w:hAnsi="Arial" w:cs="Arial"/>
                <w:sz w:val="16"/>
                <w:szCs w:val="16"/>
              </w:rPr>
              <w:t xml:space="preserve">Student, Faculty of Management Studies, </w:t>
            </w:r>
          </w:p>
          <w:p w14:paraId="7054EEC7" w14:textId="480FC8A4" w:rsidR="00E703AC" w:rsidRPr="00E703AC" w:rsidRDefault="00E703AC" w:rsidP="00E703AC">
            <w:pPr>
              <w:jc w:val="center"/>
              <w:rPr>
                <w:rFonts w:ascii="Arial" w:hAnsi="Arial" w:cs="Arial"/>
                <w:sz w:val="16"/>
                <w:szCs w:val="16"/>
              </w:rPr>
            </w:pPr>
            <w:r w:rsidRPr="00E703AC">
              <w:rPr>
                <w:rFonts w:ascii="Arial" w:hAnsi="Arial" w:cs="Arial"/>
                <w:sz w:val="16"/>
                <w:szCs w:val="16"/>
              </w:rPr>
              <w:t xml:space="preserve">CMS Business School, </w:t>
            </w:r>
          </w:p>
          <w:p w14:paraId="5ED8D46E" w14:textId="4C5DDDB8" w:rsidR="00E703AC" w:rsidRPr="00E703AC" w:rsidRDefault="00E703AC" w:rsidP="00E703AC">
            <w:pPr>
              <w:jc w:val="center"/>
              <w:rPr>
                <w:rFonts w:ascii="Arial" w:hAnsi="Arial" w:cs="Arial"/>
                <w:sz w:val="16"/>
                <w:szCs w:val="16"/>
              </w:rPr>
            </w:pPr>
            <w:r w:rsidRPr="00E703AC">
              <w:rPr>
                <w:rFonts w:ascii="Arial" w:hAnsi="Arial" w:cs="Arial"/>
                <w:sz w:val="16"/>
                <w:szCs w:val="16"/>
              </w:rPr>
              <w:t>JAIN (Deemed-to-be University) Bangalore, India</w:t>
            </w:r>
          </w:p>
        </w:tc>
        <w:tc>
          <w:tcPr>
            <w:tcW w:w="4050" w:type="dxa"/>
          </w:tcPr>
          <w:p w14:paraId="3B87AB7C" w14:textId="77777777" w:rsidR="006B120E" w:rsidRDefault="006B120E" w:rsidP="00E703AC">
            <w:pPr>
              <w:jc w:val="center"/>
              <w:outlineLvl w:val="0"/>
              <w:rPr>
                <w:rFonts w:ascii="Arial" w:eastAsia="Times New Roman" w:hAnsi="Arial" w:cs="Arial"/>
                <w:b/>
                <w:bCs/>
                <w:kern w:val="36"/>
                <w:sz w:val="16"/>
                <w:szCs w:val="16"/>
                <w:lang w:eastAsia="en-IN"/>
              </w:rPr>
            </w:pPr>
          </w:p>
          <w:p w14:paraId="19452B13" w14:textId="77777777" w:rsidR="006B120E" w:rsidRDefault="006B120E" w:rsidP="00E703AC">
            <w:pPr>
              <w:jc w:val="center"/>
              <w:outlineLvl w:val="0"/>
              <w:rPr>
                <w:rFonts w:ascii="Arial" w:eastAsia="Times New Roman" w:hAnsi="Arial" w:cs="Arial"/>
                <w:b/>
                <w:bCs/>
                <w:kern w:val="36"/>
                <w:sz w:val="16"/>
                <w:szCs w:val="16"/>
                <w:lang w:eastAsia="en-IN"/>
              </w:rPr>
            </w:pPr>
          </w:p>
          <w:p w14:paraId="5E7D1A43" w14:textId="7FB7716F" w:rsidR="00E703AC" w:rsidRPr="005E6CCB" w:rsidRDefault="00E703AC" w:rsidP="00E703AC">
            <w:pPr>
              <w:jc w:val="center"/>
              <w:outlineLvl w:val="0"/>
              <w:rPr>
                <w:rFonts w:ascii="Arial" w:eastAsia="Times New Roman" w:hAnsi="Arial" w:cs="Arial"/>
                <w:b/>
                <w:bCs/>
                <w:i/>
                <w:iCs/>
                <w:kern w:val="36"/>
                <w:sz w:val="16"/>
                <w:szCs w:val="16"/>
                <w:lang w:eastAsia="en-IN"/>
              </w:rPr>
            </w:pPr>
            <w:r w:rsidRPr="005E6CCB">
              <w:rPr>
                <w:rFonts w:ascii="Arial" w:eastAsia="Times New Roman" w:hAnsi="Arial" w:cs="Arial"/>
                <w:b/>
                <w:bCs/>
                <w:i/>
                <w:iCs/>
                <w:kern w:val="36"/>
                <w:sz w:val="16"/>
                <w:szCs w:val="16"/>
                <w:lang w:eastAsia="en-IN"/>
              </w:rPr>
              <w:t xml:space="preserve">Dr. Anoop </w:t>
            </w:r>
            <w:proofErr w:type="spellStart"/>
            <w:r w:rsidRPr="005E6CCB">
              <w:rPr>
                <w:rFonts w:ascii="Arial" w:eastAsia="Times New Roman" w:hAnsi="Arial" w:cs="Arial"/>
                <w:b/>
                <w:bCs/>
                <w:i/>
                <w:iCs/>
                <w:kern w:val="36"/>
                <w:sz w:val="16"/>
                <w:szCs w:val="16"/>
                <w:lang w:eastAsia="en-IN"/>
              </w:rPr>
              <w:t>Jagetia</w:t>
            </w:r>
            <w:proofErr w:type="spellEnd"/>
          </w:p>
          <w:p w14:paraId="3E378720" w14:textId="77777777" w:rsidR="00E703AC" w:rsidRPr="00E703AC" w:rsidRDefault="00E703AC" w:rsidP="00E703AC">
            <w:pPr>
              <w:jc w:val="center"/>
              <w:rPr>
                <w:rFonts w:ascii="Arial" w:hAnsi="Arial" w:cs="Arial"/>
                <w:sz w:val="16"/>
                <w:szCs w:val="16"/>
              </w:rPr>
            </w:pPr>
            <w:r w:rsidRPr="00E703AC">
              <w:rPr>
                <w:rFonts w:ascii="Arial" w:hAnsi="Arial" w:cs="Arial"/>
                <w:sz w:val="16"/>
                <w:szCs w:val="16"/>
              </w:rPr>
              <w:t>Assistant Professor, Faculty of Management Studies,</w:t>
            </w:r>
          </w:p>
          <w:p w14:paraId="4B6D56D5" w14:textId="3CA9192C" w:rsidR="00E703AC" w:rsidRPr="00E703AC" w:rsidRDefault="00E703AC" w:rsidP="00E703AC">
            <w:pPr>
              <w:jc w:val="center"/>
              <w:rPr>
                <w:rFonts w:ascii="Arial" w:hAnsi="Arial" w:cs="Arial"/>
                <w:sz w:val="16"/>
                <w:szCs w:val="16"/>
              </w:rPr>
            </w:pPr>
            <w:r w:rsidRPr="00E703AC">
              <w:rPr>
                <w:rFonts w:ascii="Arial" w:hAnsi="Arial" w:cs="Arial"/>
                <w:sz w:val="16"/>
                <w:szCs w:val="16"/>
              </w:rPr>
              <w:t xml:space="preserve"> CMS Business School,</w:t>
            </w:r>
          </w:p>
          <w:p w14:paraId="3F5A5C33" w14:textId="05593C5C" w:rsidR="00E703AC" w:rsidRPr="00E703AC" w:rsidRDefault="00E703AC" w:rsidP="00E703AC">
            <w:pPr>
              <w:jc w:val="center"/>
              <w:rPr>
                <w:rFonts w:ascii="Arial" w:hAnsi="Arial" w:cs="Arial"/>
                <w:sz w:val="16"/>
                <w:szCs w:val="16"/>
              </w:rPr>
            </w:pPr>
            <w:r w:rsidRPr="00E703AC">
              <w:rPr>
                <w:rFonts w:ascii="Arial" w:hAnsi="Arial" w:cs="Arial"/>
                <w:sz w:val="16"/>
                <w:szCs w:val="16"/>
              </w:rPr>
              <w:t xml:space="preserve"> JAIN (Deemed-to-be University) Bangalore, India. </w:t>
            </w:r>
          </w:p>
        </w:tc>
      </w:tr>
    </w:tbl>
    <w:p w14:paraId="1CB5FD25" w14:textId="77777777" w:rsidR="00E703AC" w:rsidRDefault="00E703AC" w:rsidP="00CD0B4F">
      <w:pPr>
        <w:spacing w:after="0" w:line="240" w:lineRule="auto"/>
        <w:jc w:val="center"/>
        <w:outlineLvl w:val="0"/>
        <w:rPr>
          <w:rFonts w:ascii="Times New Roman" w:eastAsia="Times New Roman" w:hAnsi="Times New Roman" w:cs="Times New Roman"/>
          <w:b/>
          <w:bCs/>
          <w:kern w:val="36"/>
          <w:sz w:val="24"/>
          <w:szCs w:val="24"/>
          <w:lang w:eastAsia="en-IN"/>
        </w:rPr>
      </w:pPr>
    </w:p>
    <w:p w14:paraId="17A40302" w14:textId="77777777" w:rsidR="00CD0B4F" w:rsidRPr="00E703AC" w:rsidRDefault="00CD0B4F" w:rsidP="00E703AC">
      <w:pPr>
        <w:spacing w:after="0" w:line="240" w:lineRule="auto"/>
        <w:ind w:left="720" w:right="386"/>
        <w:jc w:val="center"/>
        <w:outlineLvl w:val="1"/>
        <w:rPr>
          <w:rFonts w:ascii="Arial" w:eastAsia="Times New Roman" w:hAnsi="Arial" w:cs="Arial"/>
          <w:b/>
          <w:bCs/>
          <w:i/>
          <w:iCs/>
          <w:sz w:val="18"/>
          <w:szCs w:val="18"/>
          <w:lang w:eastAsia="en-IN"/>
        </w:rPr>
      </w:pPr>
      <w:r w:rsidRPr="00E703AC">
        <w:rPr>
          <w:rFonts w:ascii="Arial" w:eastAsia="Times New Roman" w:hAnsi="Arial" w:cs="Arial"/>
          <w:b/>
          <w:bCs/>
          <w:i/>
          <w:iCs/>
          <w:sz w:val="18"/>
          <w:szCs w:val="18"/>
          <w:lang w:eastAsia="en-IN"/>
        </w:rPr>
        <w:t>Abstract</w:t>
      </w:r>
    </w:p>
    <w:p w14:paraId="7F701648" w14:textId="77777777" w:rsidR="00E703AC" w:rsidRDefault="00E703AC" w:rsidP="00E703AC">
      <w:pPr>
        <w:spacing w:after="0" w:line="240" w:lineRule="auto"/>
        <w:ind w:left="720" w:right="386"/>
        <w:jc w:val="both"/>
        <w:rPr>
          <w:rFonts w:ascii="Arial" w:eastAsia="Times New Roman" w:hAnsi="Arial" w:cs="Arial"/>
          <w:sz w:val="18"/>
          <w:szCs w:val="18"/>
          <w:lang w:eastAsia="en-IN"/>
        </w:rPr>
      </w:pPr>
    </w:p>
    <w:p w14:paraId="0A141DE0" w14:textId="24B6448A" w:rsidR="00CD0B4F" w:rsidRDefault="00CD0B4F" w:rsidP="00E703AC">
      <w:pPr>
        <w:spacing w:after="0" w:line="240" w:lineRule="auto"/>
        <w:ind w:left="720" w:right="386"/>
        <w:jc w:val="both"/>
        <w:rPr>
          <w:rFonts w:ascii="Arial" w:eastAsia="Times New Roman" w:hAnsi="Arial" w:cs="Arial"/>
          <w:sz w:val="18"/>
          <w:szCs w:val="18"/>
          <w:lang w:eastAsia="en-IN"/>
        </w:rPr>
      </w:pPr>
      <w:r w:rsidRPr="00E703AC">
        <w:rPr>
          <w:rFonts w:ascii="Arial" w:eastAsia="Times New Roman" w:hAnsi="Arial" w:cs="Arial"/>
          <w:sz w:val="18"/>
          <w:szCs w:val="18"/>
          <w:lang w:eastAsia="en-IN"/>
        </w:rPr>
        <w:t>Coursera’s evolution highlights both the achievements and limitations of global EdTech platforms as they scale through partnerships, product diversification, and digital optimisation. While the company has expanded its ecosystem to consumer, enterprise, and degree markets, growth has recently slowed and long-term profitability remains elusive. This case repositions Coursera’s operational and strategic challenges as a design problem spanning monetisation, enterprise solutions, and governance. Synthesising literature on digital transformation, AI-assisted learning, and SaaS monetisation, the study proposes a roadmap founded on adaptive product, pricing, and control systems. AI-powered learning journeys, enterprise-first pricing, and strong data governance are forecast to reduce volatility and strengthen conversion, without undermining brand trust. These recommendations must be triangulated with local evidence and are subject to constraints arising from implementation fidelity and data quality.</w:t>
      </w:r>
    </w:p>
    <w:p w14:paraId="30A76973" w14:textId="77777777" w:rsidR="00E703AC" w:rsidRPr="00E703AC" w:rsidRDefault="00E703AC" w:rsidP="00E703AC">
      <w:pPr>
        <w:spacing w:after="0" w:line="240" w:lineRule="auto"/>
        <w:ind w:left="720" w:right="386"/>
        <w:jc w:val="both"/>
        <w:rPr>
          <w:rFonts w:ascii="Arial" w:eastAsia="Times New Roman" w:hAnsi="Arial" w:cs="Arial"/>
          <w:sz w:val="18"/>
          <w:szCs w:val="18"/>
          <w:lang w:eastAsia="en-IN"/>
        </w:rPr>
      </w:pPr>
    </w:p>
    <w:p w14:paraId="40CACC0E" w14:textId="77777777" w:rsidR="00CD0B4F" w:rsidRPr="00E703AC" w:rsidRDefault="00CD0B4F" w:rsidP="00E703AC">
      <w:pPr>
        <w:spacing w:after="0" w:line="240" w:lineRule="auto"/>
        <w:ind w:left="720" w:right="386"/>
        <w:jc w:val="both"/>
        <w:rPr>
          <w:rFonts w:ascii="Arial" w:eastAsia="Times New Roman" w:hAnsi="Arial" w:cs="Arial"/>
          <w:sz w:val="18"/>
          <w:szCs w:val="18"/>
          <w:lang w:eastAsia="en-IN"/>
        </w:rPr>
      </w:pPr>
      <w:r w:rsidRPr="00E703AC">
        <w:rPr>
          <w:rFonts w:ascii="Arial" w:eastAsia="Times New Roman" w:hAnsi="Arial" w:cs="Arial"/>
          <w:b/>
          <w:bCs/>
          <w:sz w:val="18"/>
          <w:szCs w:val="18"/>
          <w:lang w:eastAsia="en-IN"/>
        </w:rPr>
        <w:t>Keywords</w:t>
      </w:r>
      <w:r w:rsidRPr="00E703AC">
        <w:rPr>
          <w:rFonts w:ascii="Arial" w:eastAsia="Times New Roman" w:hAnsi="Arial" w:cs="Arial"/>
          <w:sz w:val="18"/>
          <w:szCs w:val="18"/>
          <w:lang w:eastAsia="en-IN"/>
        </w:rPr>
        <w:t>: EdTech, Digital transformation, Monetisation, Enterprise SaaS, Data governance, AI in learning.</w:t>
      </w:r>
    </w:p>
    <w:p w14:paraId="238E8BD9" w14:textId="77777777" w:rsidR="00E703AC" w:rsidRDefault="00E703AC" w:rsidP="00E703AC">
      <w:pPr>
        <w:spacing w:after="120" w:line="276" w:lineRule="auto"/>
        <w:jc w:val="both"/>
        <w:outlineLvl w:val="1"/>
        <w:rPr>
          <w:rFonts w:ascii="Times New Roman" w:eastAsia="Times New Roman" w:hAnsi="Times New Roman" w:cs="Times New Roman"/>
          <w:b/>
          <w:bCs/>
          <w:sz w:val="24"/>
          <w:szCs w:val="24"/>
          <w:lang w:eastAsia="en-IN"/>
        </w:rPr>
      </w:pPr>
    </w:p>
    <w:p w14:paraId="107F723E" w14:textId="77777777" w:rsidR="00E703AC" w:rsidRDefault="00E703AC" w:rsidP="00E703AC">
      <w:pPr>
        <w:spacing w:after="120" w:line="276" w:lineRule="auto"/>
        <w:jc w:val="both"/>
        <w:outlineLvl w:val="1"/>
        <w:rPr>
          <w:rFonts w:ascii="Arial" w:eastAsia="Times New Roman" w:hAnsi="Arial" w:cs="Arial"/>
          <w:b/>
          <w:bCs/>
          <w:lang w:eastAsia="en-IN"/>
        </w:rPr>
        <w:sectPr w:rsidR="00E703AC" w:rsidSect="00E703AC">
          <w:headerReference w:type="even" r:id="rId8"/>
          <w:headerReference w:type="default" r:id="rId9"/>
          <w:pgSz w:w="11906" w:h="16838" w:code="9"/>
          <w:pgMar w:top="1440" w:right="1440" w:bottom="1440" w:left="1440" w:header="1008" w:footer="720" w:gutter="0"/>
          <w:cols w:space="708"/>
          <w:docGrid w:linePitch="360"/>
        </w:sectPr>
      </w:pPr>
    </w:p>
    <w:p w14:paraId="3F02F8F9" w14:textId="7F3807C2" w:rsidR="00CD0B4F" w:rsidRPr="00E703AC" w:rsidRDefault="00CD0B4F" w:rsidP="00E703AC">
      <w:pPr>
        <w:spacing w:after="120" w:line="276" w:lineRule="auto"/>
        <w:jc w:val="center"/>
        <w:outlineLvl w:val="1"/>
        <w:rPr>
          <w:rFonts w:ascii="Arial" w:eastAsia="Times New Roman" w:hAnsi="Arial" w:cs="Arial"/>
          <w:b/>
          <w:bCs/>
          <w:caps/>
          <w:lang w:eastAsia="en-IN"/>
        </w:rPr>
      </w:pPr>
      <w:r w:rsidRPr="00E703AC">
        <w:rPr>
          <w:rFonts w:ascii="Arial" w:eastAsia="Times New Roman" w:hAnsi="Arial" w:cs="Arial"/>
          <w:b/>
          <w:bCs/>
          <w:caps/>
          <w:lang w:eastAsia="en-IN"/>
        </w:rPr>
        <w:t>Introduction</w:t>
      </w:r>
    </w:p>
    <w:p w14:paraId="701631A9" w14:textId="77777777" w:rsidR="00CD0B4F" w:rsidRPr="00E703AC" w:rsidRDefault="00CD0B4F" w:rsidP="00E703AC">
      <w:pPr>
        <w:spacing w:after="120" w:line="276" w:lineRule="auto"/>
        <w:jc w:val="both"/>
        <w:rPr>
          <w:rFonts w:ascii="Arial" w:eastAsia="Times New Roman" w:hAnsi="Arial" w:cs="Arial"/>
          <w:lang w:eastAsia="en-IN"/>
        </w:rPr>
      </w:pPr>
      <w:r w:rsidRPr="00E703AC">
        <w:rPr>
          <w:rFonts w:ascii="Arial" w:eastAsia="Times New Roman" w:hAnsi="Arial" w:cs="Arial"/>
          <w:lang w:eastAsia="en-IN"/>
        </w:rPr>
        <w:t>From its foundation as a MOOC pioneer, Coursera has transitioned into a global multi-sided EdTech platform, spanning consumer learners, corporates, and formal degree programs. Despite strong revenue growth, reaching nearly $695 million in 2024, gross margins have improved but the company continues to post GAAP losses. Current strategic dilemmas focus on decelerating overall growth, sluggish enterprise adoption, and a weak conversion rate from free to paid users. To accelerate monetisation without eroding credibility, managerial attention is needed to refine freemium funnels, pursue enterprise-first value capture, and deploy AI to enable personalisation at scale. Critical to these transitions are operating disciplines including data lineage, model governance, and transparent metrics, which sustain trust with plural stakeholder groups.</w:t>
      </w:r>
    </w:p>
    <w:p w14:paraId="1E7C0BFE" w14:textId="77777777" w:rsidR="00CD0B4F" w:rsidRPr="00E703AC" w:rsidRDefault="00CD0B4F" w:rsidP="00E703AC">
      <w:pPr>
        <w:spacing w:after="120" w:line="276" w:lineRule="auto"/>
        <w:ind w:firstLine="720"/>
        <w:jc w:val="both"/>
        <w:rPr>
          <w:rFonts w:ascii="Arial" w:eastAsia="Times New Roman" w:hAnsi="Arial" w:cs="Arial"/>
          <w:lang w:eastAsia="en-IN"/>
        </w:rPr>
      </w:pPr>
      <w:r w:rsidRPr="00E703AC">
        <w:rPr>
          <w:rFonts w:ascii="Arial" w:eastAsia="Times New Roman" w:hAnsi="Arial" w:cs="Arial"/>
          <w:lang w:eastAsia="en-IN"/>
        </w:rPr>
        <w:t xml:space="preserve">Westerman, Bonnet, and McAfee (2014) underline that transformational </w:t>
      </w:r>
      <w:r w:rsidRPr="00E703AC">
        <w:rPr>
          <w:rFonts w:ascii="Arial" w:eastAsia="Times New Roman" w:hAnsi="Arial" w:cs="Arial"/>
          <w:lang w:eastAsia="en-IN"/>
        </w:rPr>
        <w:t>success in technology-centric firms hinges on digital design, agile decision-making, and transparent reporting practices. These insights are echoed in the Coursera context, where operational discipline—especially in metric ownership and AI feature guardrails—is essential to avoid trust erosion and support sustainable growth. These findings must be adjusted for evidence from local context and recognised limitations in data comparability.</w:t>
      </w:r>
    </w:p>
    <w:p w14:paraId="17E4E2D2" w14:textId="77777777" w:rsidR="00CD0B4F" w:rsidRPr="00E703AC" w:rsidRDefault="00CD0B4F" w:rsidP="00E703AC">
      <w:pPr>
        <w:spacing w:after="120" w:line="276" w:lineRule="auto"/>
        <w:jc w:val="both"/>
        <w:outlineLvl w:val="1"/>
        <w:rPr>
          <w:rFonts w:ascii="Arial" w:eastAsia="Times New Roman" w:hAnsi="Arial" w:cs="Arial"/>
          <w:b/>
          <w:bCs/>
          <w:lang w:eastAsia="en-IN"/>
        </w:rPr>
      </w:pPr>
      <w:r w:rsidRPr="00E703AC">
        <w:rPr>
          <w:rFonts w:ascii="Arial" w:eastAsia="Times New Roman" w:hAnsi="Arial" w:cs="Arial"/>
          <w:b/>
          <w:bCs/>
          <w:lang w:eastAsia="en-IN"/>
        </w:rPr>
        <w:t>Industry Background: EdTech Trends and Digital Transformation</w:t>
      </w:r>
    </w:p>
    <w:p w14:paraId="42DE5A12" w14:textId="77777777" w:rsidR="00CD0B4F" w:rsidRPr="00E703AC" w:rsidRDefault="00CD0B4F" w:rsidP="00E703AC">
      <w:pPr>
        <w:spacing w:after="120" w:line="276" w:lineRule="auto"/>
        <w:ind w:firstLine="720"/>
        <w:jc w:val="both"/>
        <w:rPr>
          <w:rFonts w:ascii="Arial" w:eastAsia="Times New Roman" w:hAnsi="Arial" w:cs="Arial"/>
          <w:lang w:eastAsia="en-IN"/>
        </w:rPr>
      </w:pPr>
      <w:r w:rsidRPr="00E703AC">
        <w:rPr>
          <w:rFonts w:ascii="Arial" w:eastAsia="Times New Roman" w:hAnsi="Arial" w:cs="Arial"/>
          <w:lang w:eastAsia="en-IN"/>
        </w:rPr>
        <w:t xml:space="preserve">The global EdTech industry melds content, credentialing, and delivery platforms, with </w:t>
      </w:r>
      <w:proofErr w:type="gramStart"/>
      <w:r w:rsidRPr="00E703AC">
        <w:rPr>
          <w:rFonts w:ascii="Arial" w:eastAsia="Times New Roman" w:hAnsi="Arial" w:cs="Arial"/>
          <w:lang w:eastAsia="en-IN"/>
        </w:rPr>
        <w:t>high</w:t>
      </w:r>
      <w:proofErr w:type="gramEnd"/>
      <w:r w:rsidRPr="00E703AC">
        <w:rPr>
          <w:rFonts w:ascii="Arial" w:eastAsia="Times New Roman" w:hAnsi="Arial" w:cs="Arial"/>
          <w:lang w:eastAsia="en-IN"/>
        </w:rPr>
        <w:t xml:space="preserve"> competitive intensity and minimal switching costs for most consumers. Large platforms like Coursera face dual pressures: sensitivity to consumer pricing and protracted, procurement-driven sales cycles for institutional buyers. The literature underscores three determinants of sustained digital advantage: robust data </w:t>
      </w:r>
      <w:r w:rsidRPr="00E703AC">
        <w:rPr>
          <w:rFonts w:ascii="Arial" w:eastAsia="Times New Roman" w:hAnsi="Arial" w:cs="Arial"/>
          <w:lang w:eastAsia="en-IN"/>
        </w:rPr>
        <w:lastRenderedPageBreak/>
        <w:t xml:space="preserve">architecture, agile product development, and rigorous governance (Westerman et al., 2014; Davenport &amp; </w:t>
      </w:r>
      <w:proofErr w:type="spellStart"/>
      <w:r w:rsidRPr="00E703AC">
        <w:rPr>
          <w:rFonts w:ascii="Arial" w:eastAsia="Times New Roman" w:hAnsi="Arial" w:cs="Arial"/>
          <w:lang w:eastAsia="en-IN"/>
        </w:rPr>
        <w:t>Kalakota</w:t>
      </w:r>
      <w:proofErr w:type="spellEnd"/>
      <w:r w:rsidRPr="00E703AC">
        <w:rPr>
          <w:rFonts w:ascii="Arial" w:eastAsia="Times New Roman" w:hAnsi="Arial" w:cs="Arial"/>
          <w:lang w:eastAsia="en-IN"/>
        </w:rPr>
        <w:t>, 2019).</w:t>
      </w:r>
    </w:p>
    <w:p w14:paraId="67323ED3" w14:textId="77777777" w:rsidR="00CD0B4F" w:rsidRPr="00E703AC" w:rsidRDefault="00CD0B4F" w:rsidP="00E703AC">
      <w:pPr>
        <w:spacing w:after="120" w:line="276" w:lineRule="auto"/>
        <w:jc w:val="both"/>
        <w:rPr>
          <w:rFonts w:ascii="Arial" w:eastAsia="Times New Roman" w:hAnsi="Arial" w:cs="Arial"/>
          <w:lang w:eastAsia="en-IN"/>
        </w:rPr>
      </w:pPr>
      <w:r w:rsidRPr="00E703AC">
        <w:rPr>
          <w:rFonts w:ascii="Arial" w:eastAsia="Times New Roman" w:hAnsi="Arial" w:cs="Arial"/>
          <w:lang w:eastAsia="en-IN"/>
        </w:rPr>
        <w:t>Artificial intelligence is rapidly transforming content production, learning assessment, and recommendation engines, demanding new standards for explainability and outcome integrity. AI adoption must be balanced with safeguards—data explainability, lineage tracking, and model auditing—to maintain stakeholder confidence. Degree-adjacent and enterprise offerings provide strategic diversification but introduce operational complexity akin to SaaS models. Industry research stresses the pivotal role of service-level integrations, advanced analytics, and transparent reporting for success in enterprise EdTech.</w:t>
      </w:r>
    </w:p>
    <w:p w14:paraId="0DA12023" w14:textId="77777777" w:rsidR="00CD0B4F" w:rsidRPr="00E703AC" w:rsidRDefault="00CD0B4F" w:rsidP="006B120E">
      <w:pPr>
        <w:spacing w:after="120" w:line="276" w:lineRule="auto"/>
        <w:outlineLvl w:val="1"/>
        <w:rPr>
          <w:rFonts w:ascii="Arial" w:eastAsia="Times New Roman" w:hAnsi="Arial" w:cs="Arial"/>
          <w:b/>
          <w:bCs/>
          <w:lang w:eastAsia="en-IN"/>
        </w:rPr>
      </w:pPr>
      <w:r w:rsidRPr="00E703AC">
        <w:rPr>
          <w:rFonts w:ascii="Arial" w:eastAsia="Times New Roman" w:hAnsi="Arial" w:cs="Arial"/>
          <w:b/>
          <w:bCs/>
          <w:lang w:eastAsia="en-IN"/>
        </w:rPr>
        <w:t>About Coursera: Organization and Business Model</w:t>
      </w:r>
    </w:p>
    <w:p w14:paraId="795A9F60" w14:textId="77777777" w:rsidR="00CD0B4F" w:rsidRPr="00E703AC" w:rsidRDefault="00CD0B4F" w:rsidP="00E703AC">
      <w:pPr>
        <w:spacing w:after="120" w:line="276" w:lineRule="auto"/>
        <w:ind w:firstLine="720"/>
        <w:jc w:val="both"/>
        <w:rPr>
          <w:rFonts w:ascii="Arial" w:eastAsia="Times New Roman" w:hAnsi="Arial" w:cs="Arial"/>
          <w:lang w:eastAsia="en-IN"/>
        </w:rPr>
      </w:pPr>
      <w:r w:rsidRPr="00E703AC">
        <w:rPr>
          <w:rFonts w:ascii="Arial" w:eastAsia="Times New Roman" w:hAnsi="Arial" w:cs="Arial"/>
          <w:lang w:eastAsia="en-IN"/>
        </w:rPr>
        <w:t>Coursera operates two main engines: consumer distribution at global scale and deep partnerships with universities and enterprise clients. The company’s financial profile includes improved margins, strong liquidity, but slower headline growth and lagging enterprise expansion. Conversion from its vast learner base (over 162 million) remains suboptimal. Case evidence points to execution challenges including reliance on consumer funnels and sensitivity to pricing, slow enterprise traction due to complex integration needs, and inconsistency in AI feature delivery when data governance is weak. Addressing these issues requires a blend of product-led growth strategies, enterprise solutions like white-label portals and skills analytics, and robust data standards.</w:t>
      </w:r>
    </w:p>
    <w:p w14:paraId="24A11CB7" w14:textId="77777777" w:rsidR="00CD0B4F" w:rsidRDefault="00CD0B4F" w:rsidP="00E703AC">
      <w:pPr>
        <w:spacing w:after="120" w:line="276" w:lineRule="auto"/>
        <w:ind w:firstLine="720"/>
        <w:jc w:val="both"/>
        <w:rPr>
          <w:rFonts w:ascii="Arial" w:eastAsia="Times New Roman" w:hAnsi="Arial" w:cs="Arial"/>
          <w:lang w:eastAsia="en-IN"/>
        </w:rPr>
      </w:pPr>
      <w:r w:rsidRPr="00E703AC">
        <w:rPr>
          <w:rFonts w:ascii="Arial" w:eastAsia="Times New Roman" w:hAnsi="Arial" w:cs="Arial"/>
          <w:lang w:eastAsia="en-IN"/>
        </w:rPr>
        <w:t xml:space="preserve">Academic literature suggests that product-led growth in SaaS and EdTech contexts must be supported by dedicated metric definitions, service-level agreements, and transparent AI </w:t>
      </w:r>
      <w:r w:rsidRPr="00E703AC">
        <w:rPr>
          <w:rFonts w:ascii="Arial" w:eastAsia="Times New Roman" w:hAnsi="Arial" w:cs="Arial"/>
          <w:lang w:eastAsia="en-IN"/>
        </w:rPr>
        <w:t xml:space="preserve">safeguards (Davenport &amp; </w:t>
      </w:r>
      <w:proofErr w:type="spellStart"/>
      <w:r w:rsidRPr="00E703AC">
        <w:rPr>
          <w:rFonts w:ascii="Arial" w:eastAsia="Times New Roman" w:hAnsi="Arial" w:cs="Arial"/>
          <w:lang w:eastAsia="en-IN"/>
        </w:rPr>
        <w:t>Kalakota</w:t>
      </w:r>
      <w:proofErr w:type="spellEnd"/>
      <w:r w:rsidRPr="00E703AC">
        <w:rPr>
          <w:rFonts w:ascii="Arial" w:eastAsia="Times New Roman" w:hAnsi="Arial" w:cs="Arial"/>
          <w:lang w:eastAsia="en-IN"/>
        </w:rPr>
        <w:t>, 2019; Ranvitha, 2025).</w:t>
      </w:r>
    </w:p>
    <w:p w14:paraId="53D74F41" w14:textId="77777777" w:rsidR="00CD0B4F" w:rsidRPr="00E703AC" w:rsidRDefault="00CD0B4F" w:rsidP="00E703AC">
      <w:pPr>
        <w:spacing w:after="120" w:line="276" w:lineRule="auto"/>
        <w:jc w:val="center"/>
        <w:outlineLvl w:val="1"/>
        <w:rPr>
          <w:rFonts w:ascii="Arial" w:eastAsia="Times New Roman" w:hAnsi="Arial" w:cs="Arial"/>
          <w:b/>
          <w:bCs/>
          <w:caps/>
          <w:lang w:eastAsia="en-IN"/>
        </w:rPr>
      </w:pPr>
      <w:r w:rsidRPr="00E703AC">
        <w:rPr>
          <w:rFonts w:ascii="Arial" w:eastAsia="Times New Roman" w:hAnsi="Arial" w:cs="Arial"/>
          <w:b/>
          <w:bCs/>
          <w:caps/>
          <w:lang w:eastAsia="en-IN"/>
        </w:rPr>
        <w:t>Problems in the Industry</w:t>
      </w:r>
    </w:p>
    <w:p w14:paraId="060841FD" w14:textId="77777777" w:rsidR="00CD0B4F" w:rsidRPr="00E703AC" w:rsidRDefault="00CD0B4F" w:rsidP="00E703AC">
      <w:pPr>
        <w:spacing w:after="120" w:line="276" w:lineRule="auto"/>
        <w:jc w:val="both"/>
        <w:rPr>
          <w:rFonts w:ascii="Arial" w:eastAsia="Times New Roman" w:hAnsi="Arial" w:cs="Arial"/>
          <w:lang w:eastAsia="en-IN"/>
        </w:rPr>
      </w:pPr>
      <w:r w:rsidRPr="00E703AC">
        <w:rPr>
          <w:rFonts w:ascii="Arial" w:eastAsia="Times New Roman" w:hAnsi="Arial" w:cs="Arial"/>
          <w:lang w:eastAsia="en-IN"/>
        </w:rPr>
        <w:t>EdTech faces persistent sectoral frictions:</w:t>
      </w:r>
    </w:p>
    <w:p w14:paraId="05D8446E" w14:textId="77777777" w:rsidR="00CD0B4F" w:rsidRPr="00E703AC" w:rsidRDefault="00CD0B4F" w:rsidP="00E703AC">
      <w:pPr>
        <w:numPr>
          <w:ilvl w:val="0"/>
          <w:numId w:val="1"/>
        </w:numPr>
        <w:spacing w:after="120" w:line="276" w:lineRule="auto"/>
        <w:jc w:val="both"/>
        <w:rPr>
          <w:rFonts w:ascii="Arial" w:eastAsia="Times New Roman" w:hAnsi="Arial" w:cs="Arial"/>
          <w:lang w:eastAsia="en-IN"/>
        </w:rPr>
      </w:pPr>
      <w:r w:rsidRPr="00E703AC">
        <w:rPr>
          <w:rFonts w:ascii="Arial" w:eastAsia="Times New Roman" w:hAnsi="Arial" w:cs="Arial"/>
          <w:lang w:eastAsia="en-IN"/>
        </w:rPr>
        <w:t>Fierce competition among MOOC and corporate platforms.</w:t>
      </w:r>
    </w:p>
    <w:p w14:paraId="54C5E84E" w14:textId="77777777" w:rsidR="00CD0B4F" w:rsidRPr="00E703AC" w:rsidRDefault="00CD0B4F" w:rsidP="00E703AC">
      <w:pPr>
        <w:numPr>
          <w:ilvl w:val="0"/>
          <w:numId w:val="1"/>
        </w:numPr>
        <w:spacing w:after="120" w:line="276" w:lineRule="auto"/>
        <w:jc w:val="both"/>
        <w:rPr>
          <w:rFonts w:ascii="Arial" w:eastAsia="Times New Roman" w:hAnsi="Arial" w:cs="Arial"/>
          <w:lang w:eastAsia="en-IN"/>
        </w:rPr>
      </w:pPr>
      <w:r w:rsidRPr="00E703AC">
        <w:rPr>
          <w:rFonts w:ascii="Arial" w:eastAsia="Times New Roman" w:hAnsi="Arial" w:cs="Arial"/>
          <w:lang w:eastAsia="en-IN"/>
        </w:rPr>
        <w:t>Perennial price wars, often anchored near rock-bottom.</w:t>
      </w:r>
    </w:p>
    <w:p w14:paraId="476DE8F4" w14:textId="77777777" w:rsidR="00CD0B4F" w:rsidRPr="00E703AC" w:rsidRDefault="00CD0B4F" w:rsidP="00E703AC">
      <w:pPr>
        <w:numPr>
          <w:ilvl w:val="0"/>
          <w:numId w:val="1"/>
        </w:numPr>
        <w:spacing w:after="120" w:line="276" w:lineRule="auto"/>
        <w:jc w:val="both"/>
        <w:rPr>
          <w:rFonts w:ascii="Arial" w:eastAsia="Times New Roman" w:hAnsi="Arial" w:cs="Arial"/>
          <w:lang w:eastAsia="en-IN"/>
        </w:rPr>
      </w:pPr>
      <w:r w:rsidRPr="00E703AC">
        <w:rPr>
          <w:rFonts w:ascii="Arial" w:eastAsia="Times New Roman" w:hAnsi="Arial" w:cs="Arial"/>
          <w:lang w:eastAsia="en-IN"/>
        </w:rPr>
        <w:t>Low completion rates and persistent doubts about learning outcomes.</w:t>
      </w:r>
    </w:p>
    <w:p w14:paraId="5E8EB2B4" w14:textId="77777777" w:rsidR="00CD0B4F" w:rsidRPr="00E703AC" w:rsidRDefault="00CD0B4F" w:rsidP="00E703AC">
      <w:pPr>
        <w:numPr>
          <w:ilvl w:val="0"/>
          <w:numId w:val="1"/>
        </w:numPr>
        <w:spacing w:after="120" w:line="276" w:lineRule="auto"/>
        <w:jc w:val="both"/>
        <w:rPr>
          <w:rFonts w:ascii="Arial" w:eastAsia="Times New Roman" w:hAnsi="Arial" w:cs="Arial"/>
          <w:lang w:eastAsia="en-IN"/>
        </w:rPr>
      </w:pPr>
      <w:r w:rsidRPr="00E703AC">
        <w:rPr>
          <w:rFonts w:ascii="Arial" w:eastAsia="Times New Roman" w:hAnsi="Arial" w:cs="Arial"/>
          <w:lang w:eastAsia="en-IN"/>
        </w:rPr>
        <w:t>AI-driven cost reductions accompanied by concerns about content bias and assessment integrity.</w:t>
      </w:r>
    </w:p>
    <w:p w14:paraId="236A89F8" w14:textId="77777777" w:rsidR="00CD0B4F" w:rsidRPr="00E703AC" w:rsidRDefault="00CD0B4F" w:rsidP="00E703AC">
      <w:pPr>
        <w:numPr>
          <w:ilvl w:val="0"/>
          <w:numId w:val="1"/>
        </w:numPr>
        <w:spacing w:after="120" w:line="276" w:lineRule="auto"/>
        <w:jc w:val="both"/>
        <w:rPr>
          <w:rFonts w:ascii="Arial" w:eastAsia="Times New Roman" w:hAnsi="Arial" w:cs="Arial"/>
          <w:lang w:eastAsia="en-IN"/>
        </w:rPr>
      </w:pPr>
      <w:r w:rsidRPr="00E703AC">
        <w:rPr>
          <w:rFonts w:ascii="Arial" w:eastAsia="Times New Roman" w:hAnsi="Arial" w:cs="Arial"/>
          <w:lang w:eastAsia="en-IN"/>
        </w:rPr>
        <w:t>Enterprise buyers challenged by budget constraints and technical integration barriers, increasing sales cycle times.</w:t>
      </w:r>
    </w:p>
    <w:p w14:paraId="493BBC1F" w14:textId="77777777" w:rsidR="00CD0B4F" w:rsidRPr="00E703AC" w:rsidRDefault="00CD0B4F" w:rsidP="00E703AC">
      <w:pPr>
        <w:spacing w:after="120" w:line="276" w:lineRule="auto"/>
        <w:ind w:firstLine="360"/>
        <w:jc w:val="both"/>
        <w:rPr>
          <w:rFonts w:ascii="Arial" w:eastAsia="Times New Roman" w:hAnsi="Arial" w:cs="Arial"/>
          <w:lang w:eastAsia="en-IN"/>
        </w:rPr>
      </w:pPr>
      <w:r w:rsidRPr="00E703AC">
        <w:rPr>
          <w:rFonts w:ascii="Arial" w:eastAsia="Times New Roman" w:hAnsi="Arial" w:cs="Arial"/>
          <w:lang w:eastAsia="en-IN"/>
        </w:rPr>
        <w:t xml:space="preserve">Leading reviews stress that, for breakthrough success, investment in governance—especially data quality, model risk controls, and auditability—must match the pace of innovation. The haste to launch AI-powered features without sufficient oversight leads to volatility in learning outcomes and undermines institutional trust (Davenport &amp; </w:t>
      </w:r>
      <w:proofErr w:type="spellStart"/>
      <w:r w:rsidRPr="00E703AC">
        <w:rPr>
          <w:rFonts w:ascii="Arial" w:eastAsia="Times New Roman" w:hAnsi="Arial" w:cs="Arial"/>
          <w:lang w:eastAsia="en-IN"/>
        </w:rPr>
        <w:t>Kalakota</w:t>
      </w:r>
      <w:proofErr w:type="spellEnd"/>
      <w:r w:rsidRPr="00E703AC">
        <w:rPr>
          <w:rFonts w:ascii="Arial" w:eastAsia="Times New Roman" w:hAnsi="Arial" w:cs="Arial"/>
          <w:lang w:eastAsia="en-IN"/>
        </w:rPr>
        <w:t>, 2019; Westerman et al., 2014; Kumar et al., 2022).</w:t>
      </w:r>
    </w:p>
    <w:p w14:paraId="13ACC09D" w14:textId="77777777" w:rsidR="00CD0B4F" w:rsidRPr="00E703AC" w:rsidRDefault="00CD0B4F" w:rsidP="00E703AC">
      <w:pPr>
        <w:spacing w:after="120" w:line="276" w:lineRule="auto"/>
        <w:jc w:val="both"/>
        <w:outlineLvl w:val="1"/>
        <w:rPr>
          <w:rFonts w:ascii="Arial" w:eastAsia="Times New Roman" w:hAnsi="Arial" w:cs="Arial"/>
          <w:b/>
          <w:bCs/>
          <w:lang w:eastAsia="en-IN"/>
        </w:rPr>
      </w:pPr>
      <w:r w:rsidRPr="00E703AC">
        <w:rPr>
          <w:rFonts w:ascii="Arial" w:eastAsia="Times New Roman" w:hAnsi="Arial" w:cs="Arial"/>
          <w:b/>
          <w:bCs/>
          <w:lang w:eastAsia="en-IN"/>
        </w:rPr>
        <w:t>Problems Faced by Coursera</w:t>
      </w:r>
    </w:p>
    <w:p w14:paraId="65660839" w14:textId="77777777" w:rsidR="00CD0B4F" w:rsidRDefault="00CD0B4F" w:rsidP="00E703AC">
      <w:pPr>
        <w:spacing w:after="120" w:line="276" w:lineRule="auto"/>
        <w:ind w:firstLine="720"/>
        <w:jc w:val="both"/>
        <w:rPr>
          <w:rFonts w:ascii="Arial" w:eastAsia="Times New Roman" w:hAnsi="Arial" w:cs="Arial"/>
          <w:lang w:eastAsia="en-IN"/>
        </w:rPr>
      </w:pPr>
      <w:r w:rsidRPr="00E703AC">
        <w:rPr>
          <w:rFonts w:ascii="Arial" w:eastAsia="Times New Roman" w:hAnsi="Arial" w:cs="Arial"/>
          <w:lang w:eastAsia="en-IN"/>
        </w:rPr>
        <w:t xml:space="preserve">For Coursera, growth in the enterprise segment has not met expectations, and key revenue targets have been missed. Over-reliance on price-sensitive consumer segments exposes the firm to revenue volatility and weak conversion economics. Enterprise monetisation suffers from extended sales cycles and lack of customisation. The addition of AI features, while promising, remains inconsistent due to the absence of </w:t>
      </w:r>
      <w:r w:rsidRPr="00E703AC">
        <w:rPr>
          <w:rFonts w:ascii="Arial" w:eastAsia="Times New Roman" w:hAnsi="Arial" w:cs="Arial"/>
          <w:lang w:eastAsia="en-IN"/>
        </w:rPr>
        <w:lastRenderedPageBreak/>
        <w:t>standardised data governance and clear reporting guidelines.</w:t>
      </w:r>
    </w:p>
    <w:p w14:paraId="16564D99" w14:textId="77777777" w:rsidR="00CD0B4F" w:rsidRPr="00E703AC" w:rsidRDefault="00CD0B4F" w:rsidP="00E703AC">
      <w:pPr>
        <w:spacing w:after="120" w:line="276" w:lineRule="auto"/>
        <w:jc w:val="both"/>
        <w:rPr>
          <w:rFonts w:ascii="Arial" w:eastAsia="Times New Roman" w:hAnsi="Arial" w:cs="Arial"/>
          <w:lang w:eastAsia="en-IN"/>
        </w:rPr>
      </w:pPr>
      <w:r w:rsidRPr="00E703AC">
        <w:rPr>
          <w:rFonts w:ascii="Arial" w:eastAsia="Times New Roman" w:hAnsi="Arial" w:cs="Arial"/>
          <w:lang w:eastAsia="en-IN"/>
        </w:rPr>
        <w:t>The company must shift towards:</w:t>
      </w:r>
    </w:p>
    <w:p w14:paraId="07EBA6B9" w14:textId="77777777" w:rsidR="00CD0B4F" w:rsidRPr="00E703AC" w:rsidRDefault="00CD0B4F" w:rsidP="006B120E">
      <w:pPr>
        <w:numPr>
          <w:ilvl w:val="0"/>
          <w:numId w:val="2"/>
        </w:numPr>
        <w:tabs>
          <w:tab w:val="clear" w:pos="720"/>
        </w:tabs>
        <w:spacing w:after="120" w:line="276" w:lineRule="auto"/>
        <w:ind w:left="450"/>
        <w:jc w:val="both"/>
        <w:rPr>
          <w:rFonts w:ascii="Arial" w:eastAsia="Times New Roman" w:hAnsi="Arial" w:cs="Arial"/>
          <w:lang w:eastAsia="en-IN"/>
        </w:rPr>
      </w:pPr>
      <w:r w:rsidRPr="00E703AC">
        <w:rPr>
          <w:rFonts w:ascii="Arial" w:eastAsia="Times New Roman" w:hAnsi="Arial" w:cs="Arial"/>
          <w:lang w:eastAsia="en-IN"/>
        </w:rPr>
        <w:t>Enterprise-first monetisation models,</w:t>
      </w:r>
    </w:p>
    <w:p w14:paraId="7667CD43" w14:textId="77777777" w:rsidR="00CD0B4F" w:rsidRPr="00E703AC" w:rsidRDefault="00CD0B4F" w:rsidP="006B120E">
      <w:pPr>
        <w:numPr>
          <w:ilvl w:val="0"/>
          <w:numId w:val="2"/>
        </w:numPr>
        <w:tabs>
          <w:tab w:val="clear" w:pos="720"/>
        </w:tabs>
        <w:spacing w:after="120" w:line="276" w:lineRule="auto"/>
        <w:ind w:left="450"/>
        <w:jc w:val="both"/>
        <w:rPr>
          <w:rFonts w:ascii="Arial" w:eastAsia="Times New Roman" w:hAnsi="Arial" w:cs="Arial"/>
          <w:lang w:eastAsia="en-IN"/>
        </w:rPr>
      </w:pPr>
      <w:r w:rsidRPr="00E703AC">
        <w:rPr>
          <w:rFonts w:ascii="Arial" w:eastAsia="Times New Roman" w:hAnsi="Arial" w:cs="Arial"/>
          <w:lang w:eastAsia="en-IN"/>
        </w:rPr>
        <w:t>Tiered pricing strategies,</w:t>
      </w:r>
    </w:p>
    <w:p w14:paraId="073A7D2D" w14:textId="77777777" w:rsidR="00CD0B4F" w:rsidRPr="00E703AC" w:rsidRDefault="00CD0B4F" w:rsidP="006B120E">
      <w:pPr>
        <w:numPr>
          <w:ilvl w:val="0"/>
          <w:numId w:val="2"/>
        </w:numPr>
        <w:tabs>
          <w:tab w:val="clear" w:pos="720"/>
        </w:tabs>
        <w:spacing w:after="120" w:line="276" w:lineRule="auto"/>
        <w:ind w:left="450"/>
        <w:jc w:val="both"/>
        <w:rPr>
          <w:rFonts w:ascii="Arial" w:eastAsia="Times New Roman" w:hAnsi="Arial" w:cs="Arial"/>
          <w:lang w:eastAsia="en-IN"/>
        </w:rPr>
      </w:pPr>
      <w:r w:rsidRPr="00E703AC">
        <w:rPr>
          <w:rFonts w:ascii="Arial" w:eastAsia="Times New Roman" w:hAnsi="Arial" w:cs="Arial"/>
          <w:lang w:eastAsia="en-IN"/>
        </w:rPr>
        <w:t>Explainable and audit-ready AI roadmaps.</w:t>
      </w:r>
    </w:p>
    <w:p w14:paraId="69E0E84F" w14:textId="77777777" w:rsidR="00CD0B4F" w:rsidRPr="00E703AC" w:rsidRDefault="00CD0B4F" w:rsidP="00E703AC">
      <w:pPr>
        <w:spacing w:after="120" w:line="276" w:lineRule="auto"/>
        <w:ind w:firstLine="360"/>
        <w:jc w:val="both"/>
        <w:rPr>
          <w:rFonts w:ascii="Arial" w:eastAsia="Times New Roman" w:hAnsi="Arial" w:cs="Arial"/>
          <w:lang w:eastAsia="en-IN"/>
        </w:rPr>
      </w:pPr>
      <w:r w:rsidRPr="00E703AC">
        <w:rPr>
          <w:rFonts w:ascii="Arial" w:eastAsia="Times New Roman" w:hAnsi="Arial" w:cs="Arial"/>
          <w:lang w:eastAsia="en-IN"/>
        </w:rPr>
        <w:t xml:space="preserve">Continued reliance on consumer segments and incomplete integration of AI-powered learning risk eroding long-term economic and reputational value if not paired with disciplined governance reforms (Davenport &amp; </w:t>
      </w:r>
      <w:proofErr w:type="spellStart"/>
      <w:r w:rsidRPr="00E703AC">
        <w:rPr>
          <w:rFonts w:ascii="Arial" w:eastAsia="Times New Roman" w:hAnsi="Arial" w:cs="Arial"/>
          <w:lang w:eastAsia="en-IN"/>
        </w:rPr>
        <w:t>Kalakota</w:t>
      </w:r>
      <w:proofErr w:type="spellEnd"/>
      <w:r w:rsidRPr="00E703AC">
        <w:rPr>
          <w:rFonts w:ascii="Arial" w:eastAsia="Times New Roman" w:hAnsi="Arial" w:cs="Arial"/>
          <w:lang w:eastAsia="en-IN"/>
        </w:rPr>
        <w:t>, 2019; Ranvitha, 2025; Kumar et al., 2022).</w:t>
      </w:r>
    </w:p>
    <w:p w14:paraId="743D0B0B" w14:textId="77777777" w:rsidR="00CD0B4F" w:rsidRPr="00E703AC" w:rsidRDefault="00CD0B4F" w:rsidP="00E703AC">
      <w:pPr>
        <w:spacing w:after="120" w:line="276" w:lineRule="auto"/>
        <w:jc w:val="both"/>
        <w:outlineLvl w:val="1"/>
        <w:rPr>
          <w:rFonts w:ascii="Arial" w:eastAsia="Times New Roman" w:hAnsi="Arial" w:cs="Arial"/>
          <w:b/>
          <w:bCs/>
          <w:lang w:eastAsia="en-IN"/>
        </w:rPr>
      </w:pPr>
      <w:r w:rsidRPr="00E703AC">
        <w:rPr>
          <w:rFonts w:ascii="Arial" w:eastAsia="Times New Roman" w:hAnsi="Arial" w:cs="Arial"/>
          <w:b/>
          <w:bCs/>
          <w:lang w:eastAsia="en-IN"/>
        </w:rPr>
        <w:t>Academic Review: Journal Perspectives on Digital Transformation and Governance</w:t>
      </w:r>
    </w:p>
    <w:p w14:paraId="64DD97DC" w14:textId="77777777" w:rsidR="00CD0B4F" w:rsidRPr="00E703AC" w:rsidRDefault="00CD0B4F" w:rsidP="00E703AC">
      <w:pPr>
        <w:spacing w:after="120" w:line="276" w:lineRule="auto"/>
        <w:ind w:firstLine="720"/>
        <w:jc w:val="both"/>
        <w:rPr>
          <w:rFonts w:ascii="Arial" w:eastAsia="Times New Roman" w:hAnsi="Arial" w:cs="Arial"/>
          <w:lang w:eastAsia="en-IN"/>
        </w:rPr>
      </w:pPr>
      <w:r w:rsidRPr="00E703AC">
        <w:rPr>
          <w:rFonts w:ascii="Arial" w:eastAsia="Times New Roman" w:hAnsi="Arial" w:cs="Arial"/>
          <w:lang w:eastAsia="en-IN"/>
        </w:rPr>
        <w:t xml:space="preserve">Westerman, Bonnet, and McAfee (2014) demonstrate that digital transformation in business is most successful where data-driven discipline, leadership commitment, and agile governance are embedded in day-to-day operations. Davenport and </w:t>
      </w:r>
      <w:proofErr w:type="spellStart"/>
      <w:r w:rsidRPr="00E703AC">
        <w:rPr>
          <w:rFonts w:ascii="Arial" w:eastAsia="Times New Roman" w:hAnsi="Arial" w:cs="Arial"/>
          <w:lang w:eastAsia="en-IN"/>
        </w:rPr>
        <w:t>Kalakota</w:t>
      </w:r>
      <w:proofErr w:type="spellEnd"/>
      <w:r w:rsidRPr="00E703AC">
        <w:rPr>
          <w:rFonts w:ascii="Arial" w:eastAsia="Times New Roman" w:hAnsi="Arial" w:cs="Arial"/>
          <w:lang w:eastAsia="en-IN"/>
        </w:rPr>
        <w:t xml:space="preserve"> (2019) highlight the growing influence of AI—emphasising explainability, data lineage, and outcome auditing as non-negotiable standards in healthcare and EdTech.</w:t>
      </w:r>
    </w:p>
    <w:p w14:paraId="2417BE4C" w14:textId="77777777" w:rsidR="00CD0B4F" w:rsidRPr="00E703AC" w:rsidRDefault="00CD0B4F" w:rsidP="00E703AC">
      <w:pPr>
        <w:spacing w:after="120" w:line="276" w:lineRule="auto"/>
        <w:ind w:firstLine="720"/>
        <w:jc w:val="both"/>
        <w:rPr>
          <w:rFonts w:ascii="Arial" w:eastAsia="Times New Roman" w:hAnsi="Arial" w:cs="Arial"/>
          <w:lang w:eastAsia="en-IN"/>
        </w:rPr>
      </w:pPr>
      <w:r w:rsidRPr="00E703AC">
        <w:rPr>
          <w:rFonts w:ascii="Arial" w:eastAsia="Times New Roman" w:hAnsi="Arial" w:cs="Arial"/>
          <w:lang w:eastAsia="en-IN"/>
        </w:rPr>
        <w:t>Recent studies in EdTech suggest that robust conversion and retention are closely tied to well-designed freemium funnels, transparent learning journeys, and reliable outcome measurement (Kumar et al., 2022). For enterprise clients, scalable analytics, white-label integrations, and service-level commitments underpin contract value and client trust.</w:t>
      </w:r>
    </w:p>
    <w:p w14:paraId="3DEC2840" w14:textId="77777777" w:rsidR="00CD0B4F" w:rsidRPr="00E703AC" w:rsidRDefault="00CD0B4F" w:rsidP="00E703AC">
      <w:pPr>
        <w:spacing w:after="120" w:line="276" w:lineRule="auto"/>
        <w:ind w:firstLine="720"/>
        <w:jc w:val="both"/>
        <w:rPr>
          <w:rFonts w:ascii="Arial" w:eastAsia="Times New Roman" w:hAnsi="Arial" w:cs="Arial"/>
          <w:lang w:eastAsia="en-IN"/>
        </w:rPr>
      </w:pPr>
      <w:r w:rsidRPr="00E703AC">
        <w:rPr>
          <w:rFonts w:ascii="Arial" w:eastAsia="Times New Roman" w:hAnsi="Arial" w:cs="Arial"/>
          <w:lang w:eastAsia="en-IN"/>
        </w:rPr>
        <w:t xml:space="preserve">Coursera’s focus on AI-powered personalisation should follow governance charters similar to leading practices cited in digital health and enterprise SaaS, emphasising human-in-the-loop oversight, frequent audits, and clear metric definitions </w:t>
      </w:r>
      <w:r w:rsidRPr="00E703AC">
        <w:rPr>
          <w:rFonts w:ascii="Arial" w:eastAsia="Times New Roman" w:hAnsi="Arial" w:cs="Arial"/>
          <w:lang w:eastAsia="en-IN"/>
        </w:rPr>
        <w:t xml:space="preserve">(Davenport &amp; </w:t>
      </w:r>
      <w:proofErr w:type="spellStart"/>
      <w:r w:rsidRPr="00E703AC">
        <w:rPr>
          <w:rFonts w:ascii="Arial" w:eastAsia="Times New Roman" w:hAnsi="Arial" w:cs="Arial"/>
          <w:lang w:eastAsia="en-IN"/>
        </w:rPr>
        <w:t>Kalakota</w:t>
      </w:r>
      <w:proofErr w:type="spellEnd"/>
      <w:r w:rsidRPr="00E703AC">
        <w:rPr>
          <w:rFonts w:ascii="Arial" w:eastAsia="Times New Roman" w:hAnsi="Arial" w:cs="Arial"/>
          <w:lang w:eastAsia="en-IN"/>
        </w:rPr>
        <w:t>, 2019; Westerman et al., 2014; Kumar et al., 2022).</w:t>
      </w:r>
    </w:p>
    <w:p w14:paraId="27D0F365" w14:textId="77777777" w:rsidR="00CD0B4F" w:rsidRPr="00E703AC" w:rsidRDefault="00CD0B4F" w:rsidP="00E703AC">
      <w:pPr>
        <w:spacing w:after="120" w:line="276" w:lineRule="auto"/>
        <w:jc w:val="both"/>
        <w:outlineLvl w:val="1"/>
        <w:rPr>
          <w:rFonts w:ascii="Arial" w:eastAsia="Times New Roman" w:hAnsi="Arial" w:cs="Arial"/>
          <w:b/>
          <w:bCs/>
          <w:lang w:eastAsia="en-IN"/>
        </w:rPr>
      </w:pPr>
      <w:r w:rsidRPr="00E703AC">
        <w:rPr>
          <w:rFonts w:ascii="Arial" w:eastAsia="Times New Roman" w:hAnsi="Arial" w:cs="Arial"/>
          <w:b/>
          <w:bCs/>
          <w:lang w:eastAsia="en-IN"/>
        </w:rPr>
        <w:t>Academic Learning</w:t>
      </w:r>
    </w:p>
    <w:p w14:paraId="161642DC" w14:textId="77777777" w:rsidR="00CD0B4F" w:rsidRPr="00E703AC" w:rsidRDefault="00CD0B4F" w:rsidP="00E703AC">
      <w:pPr>
        <w:spacing w:after="120" w:line="276" w:lineRule="auto"/>
        <w:ind w:firstLine="360"/>
        <w:jc w:val="both"/>
        <w:rPr>
          <w:rFonts w:ascii="Arial" w:eastAsia="Times New Roman" w:hAnsi="Arial" w:cs="Arial"/>
          <w:lang w:eastAsia="en-IN"/>
        </w:rPr>
      </w:pPr>
      <w:r w:rsidRPr="00E703AC">
        <w:rPr>
          <w:rFonts w:ascii="Arial" w:eastAsia="Times New Roman" w:hAnsi="Arial" w:cs="Arial"/>
          <w:lang w:eastAsia="en-IN"/>
        </w:rPr>
        <w:t>The case prompts students to integrate strategy, product, and governance within EdTech and SaaS contexts. Key design tasks:</w:t>
      </w:r>
    </w:p>
    <w:p w14:paraId="6F0FAB3D" w14:textId="77777777" w:rsidR="00CD0B4F" w:rsidRPr="00E703AC" w:rsidRDefault="00CD0B4F" w:rsidP="00E703AC">
      <w:pPr>
        <w:numPr>
          <w:ilvl w:val="0"/>
          <w:numId w:val="3"/>
        </w:numPr>
        <w:tabs>
          <w:tab w:val="clear" w:pos="720"/>
        </w:tabs>
        <w:spacing w:after="120" w:line="276" w:lineRule="auto"/>
        <w:ind w:left="450"/>
        <w:jc w:val="both"/>
        <w:rPr>
          <w:rFonts w:ascii="Arial" w:eastAsia="Times New Roman" w:hAnsi="Arial" w:cs="Arial"/>
          <w:lang w:eastAsia="en-IN"/>
        </w:rPr>
      </w:pPr>
      <w:r w:rsidRPr="00E703AC">
        <w:rPr>
          <w:rFonts w:ascii="Arial" w:eastAsia="Times New Roman" w:hAnsi="Arial" w:cs="Arial"/>
          <w:lang w:eastAsia="en-IN"/>
        </w:rPr>
        <w:t>Monetisation stack—optimise freemium conversion, experiment with tiered pricing, and target enterprise contracts with differentiated metrics.</w:t>
      </w:r>
    </w:p>
    <w:p w14:paraId="472941A4" w14:textId="77777777" w:rsidR="00CD0B4F" w:rsidRPr="00E703AC" w:rsidRDefault="00CD0B4F" w:rsidP="00E703AC">
      <w:pPr>
        <w:numPr>
          <w:ilvl w:val="0"/>
          <w:numId w:val="3"/>
        </w:numPr>
        <w:tabs>
          <w:tab w:val="clear" w:pos="720"/>
        </w:tabs>
        <w:spacing w:after="120" w:line="276" w:lineRule="auto"/>
        <w:ind w:left="450"/>
        <w:jc w:val="both"/>
        <w:rPr>
          <w:rFonts w:ascii="Arial" w:eastAsia="Times New Roman" w:hAnsi="Arial" w:cs="Arial"/>
          <w:lang w:eastAsia="en-IN"/>
        </w:rPr>
      </w:pPr>
      <w:r w:rsidRPr="00E703AC">
        <w:rPr>
          <w:rFonts w:ascii="Arial" w:eastAsia="Times New Roman" w:hAnsi="Arial" w:cs="Arial"/>
          <w:lang w:eastAsia="en-IN"/>
        </w:rPr>
        <w:t>Outline AI-assisted learning features with explainability and robust data-lineage controls.</w:t>
      </w:r>
    </w:p>
    <w:p w14:paraId="14C7FB6F" w14:textId="77777777" w:rsidR="00CD0B4F" w:rsidRPr="00E703AC" w:rsidRDefault="00CD0B4F" w:rsidP="00E703AC">
      <w:pPr>
        <w:numPr>
          <w:ilvl w:val="0"/>
          <w:numId w:val="3"/>
        </w:numPr>
        <w:tabs>
          <w:tab w:val="clear" w:pos="720"/>
        </w:tabs>
        <w:spacing w:after="120" w:line="276" w:lineRule="auto"/>
        <w:ind w:left="450"/>
        <w:jc w:val="both"/>
        <w:rPr>
          <w:rFonts w:ascii="Arial" w:eastAsia="Times New Roman" w:hAnsi="Arial" w:cs="Arial"/>
          <w:lang w:eastAsia="en-IN"/>
        </w:rPr>
      </w:pPr>
      <w:r w:rsidRPr="00E703AC">
        <w:rPr>
          <w:rFonts w:ascii="Arial" w:eastAsia="Times New Roman" w:hAnsi="Arial" w:cs="Arial"/>
          <w:lang w:eastAsia="en-IN"/>
        </w:rPr>
        <w:t>Build enterprise playbooks, including skills analytics, white-label portals, and integration plans.</w:t>
      </w:r>
    </w:p>
    <w:p w14:paraId="57059668" w14:textId="77777777" w:rsidR="00CD0B4F" w:rsidRPr="00E703AC" w:rsidRDefault="00CD0B4F" w:rsidP="00E703AC">
      <w:pPr>
        <w:numPr>
          <w:ilvl w:val="0"/>
          <w:numId w:val="3"/>
        </w:numPr>
        <w:tabs>
          <w:tab w:val="clear" w:pos="720"/>
        </w:tabs>
        <w:spacing w:after="120" w:line="276" w:lineRule="auto"/>
        <w:ind w:left="450"/>
        <w:jc w:val="both"/>
        <w:rPr>
          <w:rFonts w:ascii="Arial" w:eastAsia="Times New Roman" w:hAnsi="Arial" w:cs="Arial"/>
          <w:lang w:eastAsia="en-IN"/>
        </w:rPr>
      </w:pPr>
      <w:r w:rsidRPr="00E703AC">
        <w:rPr>
          <w:rFonts w:ascii="Arial" w:eastAsia="Times New Roman" w:hAnsi="Arial" w:cs="Arial"/>
          <w:lang w:eastAsia="en-IN"/>
        </w:rPr>
        <w:t>Deliverables include a metrics dictionary, AI governance charter, and pilot pricing experiment designs.</w:t>
      </w:r>
    </w:p>
    <w:p w14:paraId="0C67FFC2" w14:textId="77777777" w:rsidR="00CD0B4F" w:rsidRPr="00E703AC" w:rsidRDefault="00CD0B4F" w:rsidP="00E703AC">
      <w:pPr>
        <w:spacing w:after="120" w:line="276" w:lineRule="auto"/>
        <w:ind w:firstLine="450"/>
        <w:jc w:val="both"/>
        <w:rPr>
          <w:rFonts w:ascii="Arial" w:eastAsia="Times New Roman" w:hAnsi="Arial" w:cs="Arial"/>
          <w:lang w:eastAsia="en-IN"/>
        </w:rPr>
      </w:pPr>
      <w:r w:rsidRPr="00E703AC">
        <w:rPr>
          <w:rFonts w:ascii="Arial" w:eastAsia="Times New Roman" w:hAnsi="Arial" w:cs="Arial"/>
          <w:lang w:eastAsia="en-IN"/>
        </w:rPr>
        <w:t>Students benefit from synthesising academic research and industry best practices, bringing depth and real-world relevance to strategic planning exercises.</w:t>
      </w:r>
    </w:p>
    <w:p w14:paraId="0CCB5F24" w14:textId="77777777" w:rsidR="00CD0B4F" w:rsidRPr="00E703AC" w:rsidRDefault="00CD0B4F" w:rsidP="00E703AC">
      <w:pPr>
        <w:spacing w:after="120" w:line="276" w:lineRule="auto"/>
        <w:jc w:val="center"/>
        <w:outlineLvl w:val="1"/>
        <w:rPr>
          <w:rFonts w:ascii="Arial" w:eastAsia="Times New Roman" w:hAnsi="Arial" w:cs="Arial"/>
          <w:b/>
          <w:bCs/>
          <w:caps/>
          <w:lang w:eastAsia="en-IN"/>
        </w:rPr>
      </w:pPr>
      <w:r w:rsidRPr="00E703AC">
        <w:rPr>
          <w:rFonts w:ascii="Arial" w:eastAsia="Times New Roman" w:hAnsi="Arial" w:cs="Arial"/>
          <w:b/>
          <w:bCs/>
          <w:caps/>
          <w:lang w:eastAsia="en-IN"/>
        </w:rPr>
        <w:t>Conclusion</w:t>
      </w:r>
    </w:p>
    <w:p w14:paraId="710D9B40" w14:textId="77777777" w:rsidR="00CD0B4F" w:rsidRPr="00E703AC" w:rsidRDefault="00CD0B4F" w:rsidP="00E703AC">
      <w:pPr>
        <w:spacing w:after="120" w:line="276" w:lineRule="auto"/>
        <w:ind w:firstLine="720"/>
        <w:jc w:val="both"/>
        <w:rPr>
          <w:rFonts w:ascii="Arial" w:eastAsia="Times New Roman" w:hAnsi="Arial" w:cs="Arial"/>
          <w:lang w:eastAsia="en-IN"/>
        </w:rPr>
      </w:pPr>
      <w:r w:rsidRPr="00E703AC">
        <w:rPr>
          <w:rFonts w:ascii="Arial" w:eastAsia="Times New Roman" w:hAnsi="Arial" w:cs="Arial"/>
          <w:lang w:eastAsia="en-IN"/>
        </w:rPr>
        <w:t>Coursera’s continued success hinges on disciplined monetisation and trustworthy governance for AI-powered features. Scaling enterprise offerings, safeguarding data integrity, optimising conversion strategies, and institutionalising transparent reporting are pivotal. Drawing on digital transformation literature and metrics-based strategy, the case illustrates a viable path from scale to sustainable economics and resilient brand trust.</w:t>
      </w:r>
    </w:p>
    <w:p w14:paraId="3209E8C7" w14:textId="77777777" w:rsidR="00CD0B4F" w:rsidRPr="00E703AC" w:rsidRDefault="00CD0B4F" w:rsidP="00E703AC">
      <w:pPr>
        <w:spacing w:after="120" w:line="276" w:lineRule="auto"/>
        <w:jc w:val="center"/>
        <w:outlineLvl w:val="1"/>
        <w:rPr>
          <w:rFonts w:ascii="Arial" w:eastAsia="Times New Roman" w:hAnsi="Arial" w:cs="Arial"/>
          <w:b/>
          <w:bCs/>
          <w:caps/>
          <w:lang w:eastAsia="en-IN"/>
        </w:rPr>
      </w:pPr>
      <w:r w:rsidRPr="00E703AC">
        <w:rPr>
          <w:rFonts w:ascii="Arial" w:eastAsia="Times New Roman" w:hAnsi="Arial" w:cs="Arial"/>
          <w:b/>
          <w:bCs/>
          <w:caps/>
          <w:lang w:eastAsia="en-IN"/>
        </w:rPr>
        <w:t>Case Questions</w:t>
      </w:r>
    </w:p>
    <w:p w14:paraId="4133DDF4" w14:textId="77777777" w:rsidR="00CD0B4F" w:rsidRPr="00E703AC" w:rsidRDefault="00CD0B4F" w:rsidP="00E703AC">
      <w:pPr>
        <w:numPr>
          <w:ilvl w:val="0"/>
          <w:numId w:val="4"/>
        </w:numPr>
        <w:tabs>
          <w:tab w:val="clear" w:pos="720"/>
        </w:tabs>
        <w:spacing w:after="120" w:line="276" w:lineRule="auto"/>
        <w:ind w:left="360"/>
        <w:jc w:val="both"/>
        <w:rPr>
          <w:rFonts w:ascii="Arial" w:eastAsia="Times New Roman" w:hAnsi="Arial" w:cs="Arial"/>
          <w:lang w:eastAsia="en-IN"/>
        </w:rPr>
      </w:pPr>
      <w:r w:rsidRPr="00E703AC">
        <w:rPr>
          <w:rFonts w:ascii="Arial" w:eastAsia="Times New Roman" w:hAnsi="Arial" w:cs="Arial"/>
          <w:lang w:eastAsia="en-IN"/>
        </w:rPr>
        <w:t>Design a tiered pricing and freemium-to-paid conversion experiment plan with success metrics.</w:t>
      </w:r>
    </w:p>
    <w:p w14:paraId="7DD6B44D" w14:textId="77777777" w:rsidR="00CD0B4F" w:rsidRPr="00E703AC" w:rsidRDefault="00CD0B4F" w:rsidP="00E703AC">
      <w:pPr>
        <w:numPr>
          <w:ilvl w:val="0"/>
          <w:numId w:val="4"/>
        </w:numPr>
        <w:tabs>
          <w:tab w:val="clear" w:pos="720"/>
        </w:tabs>
        <w:spacing w:after="120" w:line="276" w:lineRule="auto"/>
        <w:ind w:left="360"/>
        <w:jc w:val="both"/>
        <w:rPr>
          <w:rFonts w:ascii="Arial" w:eastAsia="Times New Roman" w:hAnsi="Arial" w:cs="Arial"/>
          <w:lang w:eastAsia="en-IN"/>
        </w:rPr>
      </w:pPr>
      <w:r w:rsidRPr="00E703AC">
        <w:rPr>
          <w:rFonts w:ascii="Arial" w:eastAsia="Times New Roman" w:hAnsi="Arial" w:cs="Arial"/>
          <w:lang w:eastAsia="en-IN"/>
        </w:rPr>
        <w:t>Draft an enterprise offering (skills analytics, white-label portal) and service-level commitment blueprint.</w:t>
      </w:r>
    </w:p>
    <w:p w14:paraId="30CFE5EF" w14:textId="77777777" w:rsidR="00CD0B4F" w:rsidRPr="00E703AC" w:rsidRDefault="00CD0B4F" w:rsidP="00E703AC">
      <w:pPr>
        <w:numPr>
          <w:ilvl w:val="0"/>
          <w:numId w:val="4"/>
        </w:numPr>
        <w:tabs>
          <w:tab w:val="clear" w:pos="720"/>
        </w:tabs>
        <w:spacing w:after="120" w:line="276" w:lineRule="auto"/>
        <w:ind w:left="360"/>
        <w:jc w:val="both"/>
        <w:rPr>
          <w:rFonts w:ascii="Arial" w:eastAsia="Times New Roman" w:hAnsi="Arial" w:cs="Arial"/>
          <w:lang w:eastAsia="en-IN"/>
        </w:rPr>
      </w:pPr>
      <w:r w:rsidRPr="00E703AC">
        <w:rPr>
          <w:rFonts w:ascii="Arial" w:eastAsia="Times New Roman" w:hAnsi="Arial" w:cs="Arial"/>
          <w:lang w:eastAsia="en-IN"/>
        </w:rPr>
        <w:lastRenderedPageBreak/>
        <w:t>Propose an AI governance charter (data lineage, explainability, human-in-the-loop) for all learning features.</w:t>
      </w:r>
    </w:p>
    <w:p w14:paraId="32B4D452" w14:textId="77777777" w:rsidR="00CD0B4F" w:rsidRPr="00E703AC" w:rsidRDefault="00CD0B4F" w:rsidP="00E703AC">
      <w:pPr>
        <w:numPr>
          <w:ilvl w:val="0"/>
          <w:numId w:val="4"/>
        </w:numPr>
        <w:tabs>
          <w:tab w:val="clear" w:pos="720"/>
        </w:tabs>
        <w:spacing w:after="120" w:line="276" w:lineRule="auto"/>
        <w:ind w:left="360"/>
        <w:jc w:val="both"/>
        <w:rPr>
          <w:rFonts w:ascii="Arial" w:eastAsia="Times New Roman" w:hAnsi="Arial" w:cs="Arial"/>
          <w:lang w:eastAsia="en-IN"/>
        </w:rPr>
      </w:pPr>
      <w:r w:rsidRPr="00E703AC">
        <w:rPr>
          <w:rFonts w:ascii="Arial" w:eastAsia="Times New Roman" w:hAnsi="Arial" w:cs="Arial"/>
          <w:lang w:eastAsia="en-IN"/>
        </w:rPr>
        <w:t>Build a comprehensive metrics dictionary aligning product KPIs with financial outcomes and investor disclosures.</w:t>
      </w:r>
    </w:p>
    <w:p w14:paraId="5E42271A" w14:textId="77777777" w:rsidR="00CD0B4F" w:rsidRPr="00E703AC" w:rsidRDefault="00CD0B4F" w:rsidP="00E703AC">
      <w:pPr>
        <w:spacing w:after="120" w:line="276" w:lineRule="auto"/>
        <w:jc w:val="center"/>
        <w:outlineLvl w:val="1"/>
        <w:rPr>
          <w:rFonts w:ascii="Arial" w:eastAsia="Times New Roman" w:hAnsi="Arial" w:cs="Arial"/>
          <w:b/>
          <w:bCs/>
          <w:caps/>
          <w:lang w:eastAsia="en-IN"/>
        </w:rPr>
      </w:pPr>
      <w:r w:rsidRPr="00E703AC">
        <w:rPr>
          <w:rFonts w:ascii="Arial" w:eastAsia="Times New Roman" w:hAnsi="Arial" w:cs="Arial"/>
          <w:b/>
          <w:bCs/>
          <w:caps/>
          <w:lang w:eastAsia="en-IN"/>
        </w:rPr>
        <w:t>References</w:t>
      </w:r>
    </w:p>
    <w:p w14:paraId="2AE2FE11" w14:textId="77777777" w:rsidR="00CD0B4F" w:rsidRPr="00E703AC" w:rsidRDefault="00CD0B4F" w:rsidP="00E703AC">
      <w:pPr>
        <w:spacing w:after="120" w:line="276" w:lineRule="auto"/>
        <w:ind w:left="720" w:hanging="720"/>
        <w:jc w:val="both"/>
        <w:rPr>
          <w:rFonts w:ascii="Arial" w:eastAsia="Times New Roman" w:hAnsi="Arial" w:cs="Arial"/>
          <w:lang w:eastAsia="en-IN"/>
        </w:rPr>
      </w:pPr>
      <w:r w:rsidRPr="00E703AC">
        <w:rPr>
          <w:rFonts w:ascii="Arial" w:eastAsia="Times New Roman" w:hAnsi="Arial" w:cs="Arial"/>
          <w:lang w:eastAsia="en-IN"/>
        </w:rPr>
        <w:t xml:space="preserve">Davenport, T. H., &amp; </w:t>
      </w:r>
      <w:proofErr w:type="spellStart"/>
      <w:r w:rsidRPr="00E703AC">
        <w:rPr>
          <w:rFonts w:ascii="Arial" w:eastAsia="Times New Roman" w:hAnsi="Arial" w:cs="Arial"/>
          <w:lang w:eastAsia="en-IN"/>
        </w:rPr>
        <w:t>Kalakota</w:t>
      </w:r>
      <w:proofErr w:type="spellEnd"/>
      <w:r w:rsidRPr="00E703AC">
        <w:rPr>
          <w:rFonts w:ascii="Arial" w:eastAsia="Times New Roman" w:hAnsi="Arial" w:cs="Arial"/>
          <w:lang w:eastAsia="en-IN"/>
        </w:rPr>
        <w:t>, R. (2019). The potential for artificial intelligence in healthcare. Future Healthcare Journal, 6(2), 94–98.</w:t>
      </w:r>
    </w:p>
    <w:p w14:paraId="6139A20C" w14:textId="77777777" w:rsidR="00CD0B4F" w:rsidRPr="00E703AC" w:rsidRDefault="00CD0B4F" w:rsidP="00E703AC">
      <w:pPr>
        <w:spacing w:after="120" w:line="276" w:lineRule="auto"/>
        <w:ind w:left="720" w:hanging="720"/>
        <w:jc w:val="both"/>
        <w:rPr>
          <w:rFonts w:ascii="Arial" w:eastAsia="Times New Roman" w:hAnsi="Arial" w:cs="Arial"/>
          <w:lang w:eastAsia="en-IN"/>
        </w:rPr>
      </w:pPr>
      <w:r w:rsidRPr="00E703AC">
        <w:rPr>
          <w:rFonts w:ascii="Arial" w:eastAsia="Times New Roman" w:hAnsi="Arial" w:cs="Arial"/>
          <w:lang w:eastAsia="en-IN"/>
        </w:rPr>
        <w:t>Kumar, R., Saini, V., &amp; Shukla, P. (2022). Achieving sustainable transformation in EdTech: Governance, product innovation and learner outcomes. Journal of Educational Technology, 38(4), 311–330.</w:t>
      </w:r>
    </w:p>
    <w:p w14:paraId="7B0A9852" w14:textId="77777777" w:rsidR="00CD0B4F" w:rsidRPr="00E703AC" w:rsidRDefault="00CD0B4F" w:rsidP="00E703AC">
      <w:pPr>
        <w:spacing w:after="120" w:line="276" w:lineRule="auto"/>
        <w:ind w:left="720" w:hanging="720"/>
        <w:jc w:val="both"/>
        <w:rPr>
          <w:rFonts w:ascii="Arial" w:eastAsia="Times New Roman" w:hAnsi="Arial" w:cs="Arial"/>
          <w:lang w:eastAsia="en-IN"/>
        </w:rPr>
      </w:pPr>
      <w:r w:rsidRPr="00E703AC">
        <w:rPr>
          <w:rFonts w:ascii="Arial" w:eastAsia="Times New Roman" w:hAnsi="Arial" w:cs="Arial"/>
          <w:lang w:eastAsia="en-IN"/>
        </w:rPr>
        <w:t>Ranvitha. (2025). Case study on Coursera: Digital transformation in financial services industry (Unpublished student case study). Westerman, G., Bonnet, D., &amp; McAfee, A. (2014). Leading digital: Turning technology into business transformation. Harvard Business Review Press.</w:t>
      </w:r>
    </w:p>
    <w:p w14:paraId="60828C8E" w14:textId="77777777" w:rsidR="00CD0B4F" w:rsidRDefault="00CD0B4F" w:rsidP="00E703AC">
      <w:pPr>
        <w:spacing w:after="120" w:line="276" w:lineRule="auto"/>
        <w:ind w:left="720" w:hanging="720"/>
        <w:jc w:val="both"/>
        <w:rPr>
          <w:rFonts w:ascii="Arial" w:hAnsi="Arial" w:cs="Arial"/>
        </w:rPr>
      </w:pPr>
      <w:r w:rsidRPr="00E703AC">
        <w:rPr>
          <w:rFonts w:ascii="Arial" w:eastAsia="Times New Roman" w:hAnsi="Arial" w:cs="Arial"/>
          <w:lang w:eastAsia="en-IN"/>
        </w:rPr>
        <w:t xml:space="preserve">Additional reviews drawn from digital transformation and EdTech governance </w:t>
      </w:r>
      <w:proofErr w:type="spellStart"/>
      <w:r w:rsidRPr="00E703AC">
        <w:rPr>
          <w:rFonts w:ascii="Arial" w:eastAsia="Times New Roman" w:hAnsi="Arial" w:cs="Arial"/>
          <w:lang w:eastAsia="en-IN"/>
        </w:rPr>
        <w:t>literature.</w:t>
      </w:r>
      <w:hyperlink r:id="rId10" w:tgtFrame="_blank" w:history="1">
        <w:r w:rsidRPr="00E703AC">
          <w:rPr>
            <w:rFonts w:ascii="Arial" w:eastAsia="Times New Roman" w:hAnsi="Arial" w:cs="Arial"/>
            <w:color w:val="0000FF"/>
            <w:u w:val="single"/>
            <w:lang w:eastAsia="en-IN"/>
          </w:rPr>
          <w:t>pmc.ncbi.nlm.nih</w:t>
        </w:r>
        <w:proofErr w:type="spellEnd"/>
      </w:hyperlink>
    </w:p>
    <w:p w14:paraId="350409B3" w14:textId="77777777" w:rsidR="00E703AC" w:rsidRDefault="00E703AC" w:rsidP="00E703AC">
      <w:pPr>
        <w:spacing w:after="120" w:line="276" w:lineRule="auto"/>
        <w:ind w:left="720" w:hanging="720"/>
        <w:jc w:val="both"/>
        <w:rPr>
          <w:rFonts w:ascii="Arial" w:hAnsi="Arial" w:cs="Arial"/>
        </w:rPr>
      </w:pPr>
    </w:p>
    <w:p w14:paraId="2C9F5274" w14:textId="77777777" w:rsidR="00E703AC" w:rsidRDefault="00E703AC" w:rsidP="00E703AC">
      <w:pPr>
        <w:spacing w:after="120" w:line="276" w:lineRule="auto"/>
        <w:ind w:left="720" w:hanging="720"/>
        <w:jc w:val="both"/>
        <w:rPr>
          <w:rFonts w:ascii="Arial" w:hAnsi="Arial" w:cs="Arial"/>
        </w:rPr>
      </w:pPr>
    </w:p>
    <w:p w14:paraId="46079D15" w14:textId="77777777" w:rsidR="00E703AC" w:rsidRDefault="00E703AC" w:rsidP="00E703AC">
      <w:pPr>
        <w:spacing w:after="120" w:line="276" w:lineRule="auto"/>
        <w:ind w:left="720" w:hanging="720"/>
        <w:jc w:val="both"/>
        <w:rPr>
          <w:rFonts w:ascii="Arial" w:hAnsi="Arial" w:cs="Arial"/>
        </w:rPr>
      </w:pPr>
    </w:p>
    <w:p w14:paraId="0F32A3AE" w14:textId="77777777" w:rsidR="00E703AC" w:rsidRDefault="00E703AC" w:rsidP="00E703AC">
      <w:pPr>
        <w:spacing w:after="120" w:line="276" w:lineRule="auto"/>
        <w:ind w:left="720" w:hanging="720"/>
        <w:jc w:val="both"/>
        <w:rPr>
          <w:rFonts w:ascii="Arial" w:hAnsi="Arial" w:cs="Arial"/>
        </w:rPr>
      </w:pPr>
    </w:p>
    <w:p w14:paraId="29E7C186" w14:textId="77777777" w:rsidR="00E703AC" w:rsidRDefault="00E703AC" w:rsidP="00E703AC">
      <w:pPr>
        <w:spacing w:after="120" w:line="276" w:lineRule="auto"/>
        <w:ind w:left="720" w:hanging="720"/>
        <w:jc w:val="both"/>
        <w:rPr>
          <w:rFonts w:ascii="Arial" w:hAnsi="Arial" w:cs="Arial"/>
        </w:rPr>
      </w:pPr>
    </w:p>
    <w:p w14:paraId="53F97760" w14:textId="77777777" w:rsidR="00E703AC" w:rsidRDefault="00E703AC" w:rsidP="00E703AC">
      <w:pPr>
        <w:spacing w:after="120" w:line="276" w:lineRule="auto"/>
        <w:ind w:left="720" w:hanging="720"/>
        <w:jc w:val="both"/>
        <w:rPr>
          <w:rFonts w:ascii="Arial" w:hAnsi="Arial" w:cs="Arial"/>
        </w:rPr>
      </w:pPr>
    </w:p>
    <w:p w14:paraId="62ABC4CA" w14:textId="77777777" w:rsidR="00E703AC" w:rsidRDefault="00E703AC" w:rsidP="00E703AC">
      <w:pPr>
        <w:spacing w:after="120" w:line="276" w:lineRule="auto"/>
        <w:ind w:left="720" w:hanging="720"/>
        <w:jc w:val="both"/>
        <w:rPr>
          <w:rFonts w:ascii="Arial" w:hAnsi="Arial" w:cs="Arial"/>
        </w:rPr>
      </w:pPr>
    </w:p>
    <w:p w14:paraId="68B057EC" w14:textId="77777777" w:rsidR="00E703AC" w:rsidRPr="00E703AC" w:rsidRDefault="00E703AC" w:rsidP="00E703AC">
      <w:pPr>
        <w:spacing w:after="120" w:line="276" w:lineRule="auto"/>
        <w:ind w:left="720" w:hanging="720"/>
        <w:jc w:val="both"/>
        <w:rPr>
          <w:rFonts w:ascii="Arial" w:eastAsia="Times New Roman" w:hAnsi="Arial" w:cs="Arial"/>
          <w:lang w:eastAsia="en-IN"/>
        </w:rPr>
      </w:pPr>
    </w:p>
    <w:p w14:paraId="273FACB2" w14:textId="77777777" w:rsidR="00E703AC" w:rsidRDefault="00E703AC" w:rsidP="00E703AC">
      <w:pPr>
        <w:spacing w:after="120" w:line="276" w:lineRule="auto"/>
        <w:jc w:val="both"/>
        <w:rPr>
          <w:sz w:val="24"/>
          <w:szCs w:val="24"/>
        </w:rPr>
      </w:pPr>
    </w:p>
    <w:p w14:paraId="7B8275BE" w14:textId="77777777" w:rsidR="00E703AC" w:rsidRDefault="00E703AC" w:rsidP="00E703AC">
      <w:pPr>
        <w:spacing w:after="120" w:line="276" w:lineRule="auto"/>
        <w:jc w:val="both"/>
        <w:rPr>
          <w:sz w:val="24"/>
          <w:szCs w:val="24"/>
        </w:rPr>
      </w:pPr>
    </w:p>
    <w:p w14:paraId="33A6AEF1" w14:textId="77777777" w:rsidR="00E703AC" w:rsidRDefault="00E703AC" w:rsidP="00E703AC">
      <w:pPr>
        <w:spacing w:after="120" w:line="276" w:lineRule="auto"/>
        <w:jc w:val="both"/>
        <w:rPr>
          <w:sz w:val="24"/>
          <w:szCs w:val="24"/>
        </w:rPr>
      </w:pPr>
    </w:p>
    <w:p w14:paraId="2E238FAB" w14:textId="77777777" w:rsidR="00E703AC" w:rsidRDefault="00E703AC" w:rsidP="00E703AC">
      <w:pPr>
        <w:spacing w:after="120" w:line="276" w:lineRule="auto"/>
        <w:jc w:val="both"/>
        <w:rPr>
          <w:sz w:val="24"/>
          <w:szCs w:val="24"/>
        </w:rPr>
      </w:pPr>
    </w:p>
    <w:p w14:paraId="28C42E6F" w14:textId="77777777" w:rsidR="00E703AC" w:rsidRDefault="00E703AC" w:rsidP="00E703AC">
      <w:pPr>
        <w:spacing w:after="120" w:line="276" w:lineRule="auto"/>
        <w:jc w:val="both"/>
        <w:rPr>
          <w:sz w:val="24"/>
          <w:szCs w:val="24"/>
        </w:rPr>
      </w:pPr>
    </w:p>
    <w:p w14:paraId="7DF03548" w14:textId="77777777" w:rsidR="00E703AC" w:rsidRDefault="00E703AC" w:rsidP="00E703AC">
      <w:pPr>
        <w:spacing w:after="120" w:line="276" w:lineRule="auto"/>
        <w:jc w:val="both"/>
        <w:rPr>
          <w:sz w:val="24"/>
          <w:szCs w:val="24"/>
        </w:rPr>
      </w:pPr>
    </w:p>
    <w:p w14:paraId="3DF44010" w14:textId="77777777" w:rsidR="00E703AC" w:rsidRDefault="00E703AC" w:rsidP="00E703AC">
      <w:pPr>
        <w:spacing w:after="120" w:line="276" w:lineRule="auto"/>
        <w:jc w:val="both"/>
        <w:rPr>
          <w:sz w:val="24"/>
          <w:szCs w:val="24"/>
        </w:rPr>
      </w:pPr>
    </w:p>
    <w:p w14:paraId="6C21260E" w14:textId="77777777" w:rsidR="00E703AC" w:rsidRDefault="00E703AC" w:rsidP="00E703AC">
      <w:pPr>
        <w:spacing w:after="120" w:line="276" w:lineRule="auto"/>
        <w:jc w:val="both"/>
        <w:rPr>
          <w:sz w:val="24"/>
          <w:szCs w:val="24"/>
        </w:rPr>
      </w:pPr>
    </w:p>
    <w:p w14:paraId="63C3F1A2" w14:textId="77777777" w:rsidR="00E703AC" w:rsidRDefault="00E703AC" w:rsidP="00E703AC">
      <w:pPr>
        <w:spacing w:after="120" w:line="276" w:lineRule="auto"/>
        <w:jc w:val="both"/>
        <w:rPr>
          <w:sz w:val="24"/>
          <w:szCs w:val="24"/>
        </w:rPr>
      </w:pPr>
    </w:p>
    <w:p w14:paraId="47B04AE5" w14:textId="77777777" w:rsidR="00E703AC" w:rsidRDefault="00E703AC" w:rsidP="00E703AC">
      <w:pPr>
        <w:spacing w:after="120" w:line="276" w:lineRule="auto"/>
        <w:jc w:val="both"/>
        <w:rPr>
          <w:sz w:val="24"/>
          <w:szCs w:val="24"/>
        </w:rPr>
      </w:pPr>
    </w:p>
    <w:p w14:paraId="21488176" w14:textId="77777777" w:rsidR="00E703AC" w:rsidRDefault="00E703AC" w:rsidP="00E703AC">
      <w:pPr>
        <w:spacing w:after="120" w:line="276" w:lineRule="auto"/>
        <w:jc w:val="both"/>
        <w:rPr>
          <w:sz w:val="24"/>
          <w:szCs w:val="24"/>
        </w:rPr>
      </w:pPr>
    </w:p>
    <w:p w14:paraId="611056AC" w14:textId="77777777" w:rsidR="00E703AC" w:rsidRDefault="00E703AC" w:rsidP="00E703AC">
      <w:pPr>
        <w:spacing w:after="120" w:line="276" w:lineRule="auto"/>
        <w:jc w:val="both"/>
        <w:rPr>
          <w:sz w:val="24"/>
          <w:szCs w:val="24"/>
        </w:rPr>
      </w:pPr>
    </w:p>
    <w:p w14:paraId="54F140F8" w14:textId="77777777" w:rsidR="00E703AC" w:rsidRDefault="00E703AC" w:rsidP="00E703AC">
      <w:pPr>
        <w:spacing w:after="120" w:line="276" w:lineRule="auto"/>
        <w:jc w:val="both"/>
        <w:rPr>
          <w:sz w:val="24"/>
          <w:szCs w:val="24"/>
        </w:rPr>
      </w:pPr>
    </w:p>
    <w:p w14:paraId="7539E7D9" w14:textId="77777777" w:rsidR="00E703AC" w:rsidRDefault="00E703AC" w:rsidP="00E703AC">
      <w:pPr>
        <w:spacing w:after="120" w:line="276" w:lineRule="auto"/>
        <w:jc w:val="both"/>
        <w:rPr>
          <w:sz w:val="24"/>
          <w:szCs w:val="24"/>
        </w:rPr>
      </w:pPr>
    </w:p>
    <w:p w14:paraId="5ED580E9" w14:textId="77777777" w:rsidR="00E703AC" w:rsidRDefault="00E703AC" w:rsidP="00E703AC">
      <w:pPr>
        <w:spacing w:after="120" w:line="276" w:lineRule="auto"/>
        <w:jc w:val="both"/>
        <w:rPr>
          <w:sz w:val="24"/>
          <w:szCs w:val="24"/>
        </w:rPr>
      </w:pPr>
    </w:p>
    <w:p w14:paraId="044E7E8E" w14:textId="77777777" w:rsidR="00E703AC" w:rsidRDefault="00E703AC" w:rsidP="00E703AC">
      <w:pPr>
        <w:spacing w:after="120" w:line="276" w:lineRule="auto"/>
        <w:jc w:val="both"/>
        <w:rPr>
          <w:sz w:val="24"/>
          <w:szCs w:val="24"/>
        </w:rPr>
        <w:sectPr w:rsidR="00E703AC" w:rsidSect="00E703AC">
          <w:headerReference w:type="even" r:id="rId11"/>
          <w:type w:val="continuous"/>
          <w:pgSz w:w="11906" w:h="16838" w:code="9"/>
          <w:pgMar w:top="1440" w:right="1440" w:bottom="1440" w:left="1440" w:header="1008" w:footer="720" w:gutter="0"/>
          <w:cols w:num="2" w:space="708"/>
          <w:docGrid w:linePitch="360"/>
        </w:sectPr>
      </w:pPr>
    </w:p>
    <w:p w14:paraId="0B570CB7" w14:textId="77777777" w:rsidR="0082619D" w:rsidRPr="00CD0B4F" w:rsidRDefault="0082619D" w:rsidP="00E703AC">
      <w:pPr>
        <w:spacing w:after="120" w:line="276" w:lineRule="auto"/>
        <w:jc w:val="both"/>
        <w:rPr>
          <w:sz w:val="24"/>
          <w:szCs w:val="24"/>
        </w:rPr>
      </w:pPr>
    </w:p>
    <w:sectPr w:rsidR="0082619D" w:rsidRPr="00CD0B4F" w:rsidSect="00E703AC">
      <w:type w:val="continuous"/>
      <w:pgSz w:w="11906" w:h="16838" w:code="9"/>
      <w:pgMar w:top="1440" w:right="1440" w:bottom="1440" w:left="1440" w:header="1008"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6247F" w14:textId="77777777" w:rsidR="00A62ECA" w:rsidRDefault="00A62ECA" w:rsidP="006B120E">
      <w:pPr>
        <w:spacing w:after="0" w:line="240" w:lineRule="auto"/>
      </w:pPr>
      <w:r>
        <w:separator/>
      </w:r>
    </w:p>
  </w:endnote>
  <w:endnote w:type="continuationSeparator" w:id="0">
    <w:p w14:paraId="71E4B439" w14:textId="77777777" w:rsidR="00A62ECA" w:rsidRDefault="00A62ECA" w:rsidP="006B1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72139" w14:textId="77777777" w:rsidR="00A62ECA" w:rsidRDefault="00A62ECA" w:rsidP="006B120E">
      <w:pPr>
        <w:spacing w:after="0" w:line="240" w:lineRule="auto"/>
      </w:pPr>
      <w:r>
        <w:separator/>
      </w:r>
    </w:p>
  </w:footnote>
  <w:footnote w:type="continuationSeparator" w:id="0">
    <w:p w14:paraId="289D0768" w14:textId="77777777" w:rsidR="00A62ECA" w:rsidRDefault="00A62ECA" w:rsidP="006B1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D7784" w14:textId="614EE399" w:rsidR="006B120E" w:rsidRPr="006B120E" w:rsidRDefault="006B120E" w:rsidP="006B120E">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2</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w:t>
    </w:r>
    <w:r w:rsidR="005E6CCB">
      <w:rPr>
        <w:rFonts w:ascii="Arial" w:eastAsia="Arial" w:hAnsi="Arial" w:cs="Arial"/>
        <w:i/>
        <w:color w:val="000000"/>
        <w:spacing w:val="-1"/>
        <w:sz w:val="16"/>
        <w:szCs w:val="16"/>
      </w:rPr>
      <w:t xml:space="preserve">Economics </w:t>
    </w:r>
    <w:r w:rsidRPr="00B62BAE">
      <w:rPr>
        <w:rFonts w:ascii="Arial" w:eastAsia="Arial" w:hAnsi="Arial" w:cs="Arial"/>
        <w:i/>
        <w:color w:val="000000"/>
        <w:spacing w:val="-1"/>
        <w:sz w:val="16"/>
        <w:szCs w:val="16"/>
      </w:rPr>
      <w:t xml:space="preserve">and </w:t>
    </w:r>
    <w:r w:rsidR="005E6CCB">
      <w:rPr>
        <w:rFonts w:ascii="Arial" w:eastAsia="Arial" w:hAnsi="Arial" w:cs="Arial"/>
        <w:i/>
        <w:color w:val="000000"/>
        <w:spacing w:val="-1"/>
        <w:sz w:val="16"/>
        <w:szCs w:val="16"/>
      </w:rPr>
      <w:t>Finance</w:t>
    </w:r>
    <w:r w:rsidR="005E6CCB">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November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5A951" w14:textId="0E92AC23" w:rsidR="006B120E" w:rsidRPr="00F62F76" w:rsidRDefault="006B120E" w:rsidP="006B120E">
    <w:pPr>
      <w:pStyle w:val="Header"/>
      <w:pBdr>
        <w:bottom w:val="single" w:sz="4" w:space="1" w:color="auto"/>
      </w:pBdr>
      <w:rPr>
        <w:rFonts w:ascii="Arial" w:hAnsi="Arial" w:cs="Arial"/>
        <w:sz w:val="16"/>
        <w:szCs w:val="16"/>
        <w:lang w:val="pl-PL"/>
      </w:rPr>
    </w:pPr>
    <w:r w:rsidRPr="00F62F76">
      <w:rPr>
        <w:rFonts w:ascii="Arial" w:hAnsi="Arial" w:cs="Arial"/>
        <w:sz w:val="16"/>
        <w:szCs w:val="16"/>
        <w:lang w:val="pl-PL"/>
      </w:rPr>
      <w:t>2025</w:t>
    </w:r>
    <w:r w:rsidRPr="00F62F76">
      <w:rPr>
        <w:rFonts w:ascii="Arial" w:hAnsi="Arial" w:cs="Arial"/>
        <w:sz w:val="16"/>
        <w:szCs w:val="16"/>
        <w:lang w:val="pl-PL"/>
      </w:rPr>
      <w:tab/>
      <w:t>Maram Naga Ranvitha Laxmi, Dr. Anoop Jagetia</w:t>
    </w:r>
    <w:r w:rsidRPr="00F62F76">
      <w:rPr>
        <w:rFonts w:ascii="Arial" w:hAnsi="Arial" w:cs="Arial"/>
        <w:sz w:val="16"/>
        <w:szCs w:val="16"/>
        <w:lang w:val="pl-PL"/>
      </w:rPr>
      <w:tab/>
    </w:r>
    <w:r w:rsidRPr="00B62BAE">
      <w:rPr>
        <w:rFonts w:ascii="Arial" w:hAnsi="Arial" w:cs="Arial"/>
        <w:sz w:val="16"/>
        <w:szCs w:val="16"/>
      </w:rPr>
      <w:fldChar w:fldCharType="begin"/>
    </w:r>
    <w:r w:rsidRPr="00F62F76">
      <w:rPr>
        <w:rFonts w:ascii="Arial" w:hAnsi="Arial" w:cs="Arial"/>
        <w:sz w:val="16"/>
        <w:szCs w:val="16"/>
        <w:lang w:val="pl-PL"/>
      </w:rPr>
      <w:instrText xml:space="preserve"> PAGE   \* MERGEFORMAT </w:instrText>
    </w:r>
    <w:r w:rsidRPr="00B62BAE">
      <w:rPr>
        <w:rFonts w:ascii="Arial" w:hAnsi="Arial" w:cs="Arial"/>
        <w:sz w:val="16"/>
        <w:szCs w:val="16"/>
      </w:rPr>
      <w:fldChar w:fldCharType="separate"/>
    </w:r>
    <w:r w:rsidRPr="00F62F76">
      <w:rPr>
        <w:rFonts w:ascii="Arial" w:hAnsi="Arial" w:cs="Arial"/>
        <w:sz w:val="16"/>
        <w:szCs w:val="16"/>
        <w:lang w:val="pl-PL"/>
      </w:rPr>
      <w:t>1</w:t>
    </w:r>
    <w:r w:rsidRPr="00B62BAE">
      <w:rPr>
        <w:rFonts w:ascii="Arial" w:hAnsi="Arial" w:cs="Arial"/>
        <w:noProof/>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59219" w14:textId="0B48F4ED" w:rsidR="00DB7F96" w:rsidRPr="006B120E" w:rsidRDefault="00DB7F96" w:rsidP="006B120E">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2</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w:t>
    </w:r>
    <w:r>
      <w:rPr>
        <w:rFonts w:ascii="Arial" w:eastAsia="Arial" w:hAnsi="Arial" w:cs="Arial"/>
        <w:i/>
        <w:color w:val="000000"/>
        <w:spacing w:val="-1"/>
        <w:sz w:val="16"/>
        <w:szCs w:val="16"/>
      </w:rPr>
      <w:t xml:space="preserve">Economics </w:t>
    </w:r>
    <w:r w:rsidRPr="00B62BAE">
      <w:rPr>
        <w:rFonts w:ascii="Arial" w:eastAsia="Arial" w:hAnsi="Arial" w:cs="Arial"/>
        <w:i/>
        <w:color w:val="000000"/>
        <w:spacing w:val="-1"/>
        <w:sz w:val="16"/>
        <w:szCs w:val="16"/>
      </w:rPr>
      <w:t xml:space="preserve">and </w:t>
    </w:r>
    <w:r>
      <w:rPr>
        <w:rFonts w:ascii="Arial" w:eastAsia="Arial" w:hAnsi="Arial" w:cs="Arial"/>
        <w:i/>
        <w:color w:val="000000"/>
        <w:spacing w:val="-1"/>
        <w:sz w:val="16"/>
        <w:szCs w:val="16"/>
      </w:rPr>
      <w:t>Finance</w:t>
    </w:r>
    <w:r>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December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3412D"/>
    <w:multiLevelType w:val="multilevel"/>
    <w:tmpl w:val="2A1CD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C513D"/>
    <w:multiLevelType w:val="multilevel"/>
    <w:tmpl w:val="9AC87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7651BF"/>
    <w:multiLevelType w:val="multilevel"/>
    <w:tmpl w:val="8A94C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B93F4F"/>
    <w:multiLevelType w:val="multilevel"/>
    <w:tmpl w:val="051EC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C73BD8"/>
    <w:multiLevelType w:val="multilevel"/>
    <w:tmpl w:val="1628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7C0252"/>
    <w:multiLevelType w:val="multilevel"/>
    <w:tmpl w:val="65224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4897316">
    <w:abstractNumId w:val="5"/>
  </w:num>
  <w:num w:numId="2" w16cid:durableId="263726904">
    <w:abstractNumId w:val="2"/>
  </w:num>
  <w:num w:numId="3" w16cid:durableId="2128889227">
    <w:abstractNumId w:val="4"/>
  </w:num>
  <w:num w:numId="4" w16cid:durableId="1304192624">
    <w:abstractNumId w:val="1"/>
  </w:num>
  <w:num w:numId="5" w16cid:durableId="1401174965">
    <w:abstractNumId w:val="0"/>
  </w:num>
  <w:num w:numId="6" w16cid:durableId="5084463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B4F"/>
    <w:rsid w:val="00051EE1"/>
    <w:rsid w:val="0024392B"/>
    <w:rsid w:val="00371FA9"/>
    <w:rsid w:val="003B752C"/>
    <w:rsid w:val="00482A43"/>
    <w:rsid w:val="00587473"/>
    <w:rsid w:val="005E6CCB"/>
    <w:rsid w:val="006B120E"/>
    <w:rsid w:val="0082619D"/>
    <w:rsid w:val="008F2B44"/>
    <w:rsid w:val="009A6D11"/>
    <w:rsid w:val="00A62ECA"/>
    <w:rsid w:val="00B07F6F"/>
    <w:rsid w:val="00C352F9"/>
    <w:rsid w:val="00C61364"/>
    <w:rsid w:val="00CD0B4F"/>
    <w:rsid w:val="00D176D9"/>
    <w:rsid w:val="00D21DC9"/>
    <w:rsid w:val="00D54C29"/>
    <w:rsid w:val="00DB7F96"/>
    <w:rsid w:val="00E67DA0"/>
    <w:rsid w:val="00E703AC"/>
    <w:rsid w:val="00EB3D65"/>
    <w:rsid w:val="00F62F76"/>
    <w:rsid w:val="00F65192"/>
  </w:rsids>
  <m:mathPr>
    <m:mathFont m:val="Cambria Math"/>
    <m:brkBin m:val="before"/>
    <m:brkBinSub m:val="--"/>
    <m:smallFrac m:val="0"/>
    <m:dispDef/>
    <m:lMargin m:val="0"/>
    <m:rMargin m:val="0"/>
    <m:defJc m:val="centerGroup"/>
    <m:wrapIndent m:val="1440"/>
    <m:intLim m:val="subSup"/>
    <m:naryLim m:val="undOvr"/>
  </m:mathPr>
  <w:themeFontLang w:val="en-I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BAEF6"/>
  <w15:chartTrackingRefBased/>
  <w15:docId w15:val="{9498D9C5-7452-4F75-B7CC-A3BBA3566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D0B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CD0B4F"/>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B4F"/>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CD0B4F"/>
    <w:rPr>
      <w:rFonts w:ascii="Times New Roman" w:eastAsia="Times New Roman" w:hAnsi="Times New Roman" w:cs="Times New Roman"/>
      <w:b/>
      <w:bCs/>
      <w:sz w:val="36"/>
      <w:szCs w:val="36"/>
      <w:lang w:eastAsia="en-IN"/>
    </w:rPr>
  </w:style>
  <w:style w:type="paragraph" w:customStyle="1" w:styleId="my-2">
    <w:name w:val="my-2"/>
    <w:basedOn w:val="Normal"/>
    <w:rsid w:val="00CD0B4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CD0B4F"/>
    <w:rPr>
      <w:b/>
      <w:bCs/>
    </w:rPr>
  </w:style>
  <w:style w:type="character" w:customStyle="1" w:styleId="citation">
    <w:name w:val="citation"/>
    <w:basedOn w:val="DefaultParagraphFont"/>
    <w:rsid w:val="00CD0B4F"/>
  </w:style>
  <w:style w:type="character" w:customStyle="1" w:styleId="relative">
    <w:name w:val="relative"/>
    <w:basedOn w:val="DefaultParagraphFont"/>
    <w:rsid w:val="00CD0B4F"/>
  </w:style>
  <w:style w:type="character" w:styleId="Hyperlink">
    <w:name w:val="Hyperlink"/>
    <w:basedOn w:val="DefaultParagraphFont"/>
    <w:uiPriority w:val="99"/>
    <w:unhideWhenUsed/>
    <w:rsid w:val="00CD0B4F"/>
    <w:rPr>
      <w:color w:val="0000FF"/>
      <w:u w:val="single"/>
    </w:rPr>
  </w:style>
  <w:style w:type="table" w:styleId="TableGrid">
    <w:name w:val="Table Grid"/>
    <w:basedOn w:val="TableNormal"/>
    <w:uiPriority w:val="39"/>
    <w:rsid w:val="00E70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12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20E"/>
  </w:style>
  <w:style w:type="paragraph" w:styleId="Footer">
    <w:name w:val="footer"/>
    <w:basedOn w:val="Normal"/>
    <w:link w:val="FooterChar"/>
    <w:uiPriority w:val="99"/>
    <w:unhideWhenUsed/>
    <w:rsid w:val="006B12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120E"/>
  </w:style>
  <w:style w:type="character" w:styleId="UnresolvedMention">
    <w:name w:val="Unresolved Mention"/>
    <w:basedOn w:val="DefaultParagraphFont"/>
    <w:uiPriority w:val="99"/>
    <w:semiHidden/>
    <w:unhideWhenUsed/>
    <w:rsid w:val="00F62F76"/>
    <w:rPr>
      <w:color w:val="605E5C"/>
      <w:shd w:val="clear" w:color="auto" w:fill="E1DFDD"/>
    </w:rPr>
  </w:style>
  <w:style w:type="character" w:styleId="FollowedHyperlink">
    <w:name w:val="FollowedHyperlink"/>
    <w:basedOn w:val="DefaultParagraphFont"/>
    <w:uiPriority w:val="99"/>
    <w:semiHidden/>
    <w:unhideWhenUsed/>
    <w:rsid w:val="00D176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062678">
      <w:bodyDiv w:val="1"/>
      <w:marLeft w:val="0"/>
      <w:marRight w:val="0"/>
      <w:marTop w:val="0"/>
      <w:marBottom w:val="0"/>
      <w:divBdr>
        <w:top w:val="none" w:sz="0" w:space="0" w:color="auto"/>
        <w:left w:val="none" w:sz="0" w:space="0" w:color="auto"/>
        <w:bottom w:val="none" w:sz="0" w:space="0" w:color="auto"/>
        <w:right w:val="none" w:sz="0" w:space="0" w:color="auto"/>
      </w:divBdr>
      <w:divsChild>
        <w:div w:id="3605152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5281/zenodo.1771896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yperlink" Target="https://pmc.ncbi.nlm.nih.gov/articles/PMC9168443/" TargetMode="Externa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1597</Words>
  <Characters>9108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CMS-STAFF139</dc:creator>
  <cp:keywords/>
  <dc:description/>
  <cp:lastModifiedBy>Ravi chandran</cp:lastModifiedBy>
  <cp:revision>14</cp:revision>
  <dcterms:created xsi:type="dcterms:W3CDTF">2025-10-28T04:16:00Z</dcterms:created>
  <dcterms:modified xsi:type="dcterms:W3CDTF">2025-11-26T05:27:00Z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2025-11-14T04:35:59Z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32286eed-c292-4051-bc31-1d8febc0d77a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