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F933" w14:textId="6B045DF6" w:rsidR="002F623C" w:rsidRPr="00FA13C3" w:rsidRDefault="002F623C" w:rsidP="002F623C">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9F6859">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33963697" w14:textId="77777777" w:rsidR="00151DD0" w:rsidRDefault="002F623C" w:rsidP="002F623C">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30A8E85A" w14:textId="5F4C965F" w:rsidR="002F623C" w:rsidRDefault="00151DD0" w:rsidP="002F623C">
      <w:pPr>
        <w:spacing w:after="0" w:line="160" w:lineRule="atLeast"/>
        <w:jc w:val="both"/>
        <w:rPr>
          <w:rFonts w:ascii="Arial" w:eastAsia="Arial" w:hAnsi="Arial" w:cs="Arial"/>
          <w:i/>
          <w:color w:val="000000"/>
          <w:spacing w:val="-1"/>
          <w:sz w:val="14"/>
          <w:szCs w:val="14"/>
        </w:rPr>
      </w:pPr>
      <w:r w:rsidRPr="00151DD0">
        <w:rPr>
          <w:rFonts w:ascii="Arial" w:eastAsia="Arial" w:hAnsi="Arial" w:cs="Arial"/>
          <w:i/>
          <w:color w:val="000000"/>
          <w:spacing w:val="-1"/>
          <w:sz w:val="14"/>
          <w:szCs w:val="14"/>
        </w:rPr>
        <w:t xml:space="preserve">DOI: </w:t>
      </w:r>
      <w:hyperlink r:id="rId7" w:history="1">
        <w:r w:rsidRPr="006C0EF9">
          <w:rPr>
            <w:rStyle w:val="Hyperlink"/>
            <w:rFonts w:ascii="Arial" w:eastAsia="Arial" w:hAnsi="Arial" w:cs="Arial"/>
            <w:i/>
            <w:spacing w:val="-1"/>
            <w:sz w:val="14"/>
            <w:szCs w:val="14"/>
          </w:rPr>
          <w:t>https://doi.org/10.5281/zenodo.17719074</w:t>
        </w:r>
      </w:hyperlink>
    </w:p>
    <w:p w14:paraId="55BD15F3" w14:textId="77777777" w:rsidR="00151DD0" w:rsidRPr="00151DD0" w:rsidRDefault="00151DD0" w:rsidP="002F623C">
      <w:pPr>
        <w:spacing w:after="0" w:line="160" w:lineRule="atLeast"/>
        <w:jc w:val="both"/>
        <w:rPr>
          <w:rFonts w:ascii="Arial" w:eastAsia="Arial" w:hAnsi="Arial" w:cs="Arial"/>
          <w:i/>
          <w:color w:val="000000"/>
          <w:spacing w:val="-1"/>
          <w:sz w:val="14"/>
          <w:szCs w:val="14"/>
        </w:rPr>
      </w:pPr>
    </w:p>
    <w:p w14:paraId="337B0D0E" w14:textId="77777777" w:rsidR="001F1DF1" w:rsidRPr="00151DD0" w:rsidRDefault="001F1DF1" w:rsidP="00151DD0">
      <w:pPr>
        <w:spacing w:after="0" w:line="240" w:lineRule="auto"/>
        <w:outlineLvl w:val="0"/>
        <w:rPr>
          <w:rFonts w:ascii="Times New Roman" w:eastAsia="Times New Roman" w:hAnsi="Times New Roman" w:cs="Times New Roman"/>
          <w:b/>
          <w:bCs/>
          <w:kern w:val="36"/>
          <w:sz w:val="26"/>
          <w:szCs w:val="26"/>
          <w:lang w:eastAsia="en-IN"/>
        </w:rPr>
      </w:pPr>
    </w:p>
    <w:p w14:paraId="2DA8D50B" w14:textId="09378F24" w:rsidR="00CF5DD6" w:rsidRDefault="00CF5DD6" w:rsidP="001F1DF1">
      <w:pPr>
        <w:spacing w:after="0" w:line="240" w:lineRule="auto"/>
        <w:jc w:val="center"/>
        <w:outlineLvl w:val="0"/>
        <w:rPr>
          <w:rFonts w:ascii="Times New Roman" w:eastAsia="Times New Roman" w:hAnsi="Times New Roman" w:cs="Times New Roman"/>
          <w:b/>
          <w:bCs/>
          <w:kern w:val="36"/>
          <w:sz w:val="32"/>
          <w:szCs w:val="32"/>
          <w:lang w:eastAsia="en-IN"/>
        </w:rPr>
      </w:pPr>
      <w:r w:rsidRPr="001F1DF1">
        <w:rPr>
          <w:rFonts w:ascii="Times New Roman" w:eastAsia="Times New Roman" w:hAnsi="Times New Roman" w:cs="Times New Roman"/>
          <w:b/>
          <w:bCs/>
          <w:kern w:val="36"/>
          <w:sz w:val="32"/>
          <w:szCs w:val="32"/>
          <w:lang w:eastAsia="en-IN"/>
        </w:rPr>
        <w:t>GST Reconciliation Under Time Pressure: Controls, Evidence, and Client Education</w:t>
      </w:r>
    </w:p>
    <w:p w14:paraId="7BB6F48F" w14:textId="77777777" w:rsidR="001F1DF1" w:rsidRDefault="001F1DF1" w:rsidP="001F1DF1">
      <w:pPr>
        <w:spacing w:after="0" w:line="240" w:lineRule="auto"/>
        <w:jc w:val="center"/>
        <w:outlineLvl w:val="0"/>
        <w:rPr>
          <w:rFonts w:ascii="Times New Roman" w:eastAsia="Times New Roman" w:hAnsi="Times New Roman" w:cs="Times New Roman"/>
          <w:b/>
          <w:bCs/>
          <w:kern w:val="36"/>
          <w:sz w:val="32"/>
          <w:szCs w:val="32"/>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140"/>
      </w:tblGrid>
      <w:tr w:rsidR="001F1DF1" w14:paraId="49495573" w14:textId="77777777" w:rsidTr="001F1DF1">
        <w:trPr>
          <w:jc w:val="center"/>
        </w:trPr>
        <w:tc>
          <w:tcPr>
            <w:tcW w:w="3775" w:type="dxa"/>
          </w:tcPr>
          <w:p w14:paraId="64F05E55" w14:textId="52356045" w:rsidR="001F1DF1" w:rsidRPr="001F1DF1" w:rsidRDefault="001F1DF1" w:rsidP="001F1DF1">
            <w:pPr>
              <w:jc w:val="center"/>
              <w:rPr>
                <w:rFonts w:ascii="Arial" w:eastAsia="Times New Roman" w:hAnsi="Arial" w:cs="Arial"/>
                <w:b/>
                <w:i/>
                <w:iCs/>
                <w:sz w:val="16"/>
                <w:szCs w:val="16"/>
                <w:lang w:eastAsia="en-IN"/>
              </w:rPr>
            </w:pPr>
            <w:proofErr w:type="spellStart"/>
            <w:r w:rsidRPr="001F1DF1">
              <w:rPr>
                <w:rFonts w:ascii="Arial" w:eastAsia="Times New Roman" w:hAnsi="Arial" w:cs="Arial"/>
                <w:b/>
                <w:i/>
                <w:iCs/>
                <w:sz w:val="16"/>
                <w:szCs w:val="16"/>
                <w:lang w:eastAsia="en-IN"/>
              </w:rPr>
              <w:t>Duvvuru</w:t>
            </w:r>
            <w:proofErr w:type="spellEnd"/>
            <w:r w:rsidRPr="001F1DF1">
              <w:rPr>
                <w:rFonts w:ascii="Arial" w:eastAsia="Times New Roman" w:hAnsi="Arial" w:cs="Arial"/>
                <w:b/>
                <w:i/>
                <w:iCs/>
                <w:sz w:val="16"/>
                <w:szCs w:val="16"/>
                <w:lang w:eastAsia="en-IN"/>
              </w:rPr>
              <w:t xml:space="preserve"> Priyanka</w:t>
            </w:r>
          </w:p>
          <w:p w14:paraId="74A3A397" w14:textId="77777777" w:rsidR="001F1DF1" w:rsidRDefault="001F1DF1" w:rsidP="001F1DF1">
            <w:pPr>
              <w:jc w:val="center"/>
              <w:rPr>
                <w:rFonts w:ascii="Arial" w:hAnsi="Arial" w:cs="Arial"/>
                <w:sz w:val="16"/>
                <w:szCs w:val="16"/>
              </w:rPr>
            </w:pPr>
            <w:r w:rsidRPr="001F1DF1">
              <w:rPr>
                <w:rFonts w:ascii="Arial" w:hAnsi="Arial" w:cs="Arial"/>
                <w:sz w:val="16"/>
                <w:szCs w:val="16"/>
              </w:rPr>
              <w:t>Student, Faculty of Management Studies,</w:t>
            </w:r>
          </w:p>
          <w:p w14:paraId="3D6B9AA7" w14:textId="77777777" w:rsidR="001F1DF1" w:rsidRDefault="001F1DF1" w:rsidP="001F1DF1">
            <w:pPr>
              <w:jc w:val="center"/>
              <w:rPr>
                <w:rFonts w:ascii="Arial" w:hAnsi="Arial" w:cs="Arial"/>
                <w:sz w:val="16"/>
                <w:szCs w:val="16"/>
              </w:rPr>
            </w:pPr>
            <w:r w:rsidRPr="001F1DF1">
              <w:rPr>
                <w:rFonts w:ascii="Arial" w:hAnsi="Arial" w:cs="Arial"/>
                <w:sz w:val="16"/>
                <w:szCs w:val="16"/>
              </w:rPr>
              <w:t xml:space="preserve"> CMS Business School, </w:t>
            </w:r>
          </w:p>
          <w:p w14:paraId="556AE895" w14:textId="253DE5BA" w:rsidR="001F1DF1" w:rsidRPr="001F1DF1" w:rsidRDefault="001F1DF1" w:rsidP="001F1DF1">
            <w:pPr>
              <w:jc w:val="center"/>
              <w:rPr>
                <w:rFonts w:ascii="Arial" w:hAnsi="Arial" w:cs="Arial"/>
                <w:sz w:val="16"/>
                <w:szCs w:val="16"/>
              </w:rPr>
            </w:pPr>
            <w:r w:rsidRPr="001F1DF1">
              <w:rPr>
                <w:rFonts w:ascii="Arial" w:hAnsi="Arial" w:cs="Arial"/>
                <w:sz w:val="16"/>
                <w:szCs w:val="16"/>
              </w:rPr>
              <w:t>JAIN (Deemed-to-be University) Bangalore, India</w:t>
            </w:r>
          </w:p>
        </w:tc>
        <w:tc>
          <w:tcPr>
            <w:tcW w:w="4140" w:type="dxa"/>
          </w:tcPr>
          <w:p w14:paraId="466BC56B" w14:textId="41A24639" w:rsidR="001F1DF1" w:rsidRPr="001F1DF1" w:rsidRDefault="001F1DF1" w:rsidP="001F1DF1">
            <w:pPr>
              <w:jc w:val="center"/>
              <w:outlineLvl w:val="0"/>
              <w:rPr>
                <w:rFonts w:ascii="Arial" w:eastAsia="Times New Roman" w:hAnsi="Arial" w:cs="Arial"/>
                <w:b/>
                <w:i/>
                <w:iCs/>
                <w:sz w:val="16"/>
                <w:szCs w:val="16"/>
                <w:lang w:eastAsia="en-IN"/>
              </w:rPr>
            </w:pPr>
            <w:r w:rsidRPr="001F1DF1">
              <w:rPr>
                <w:rFonts w:ascii="Arial" w:eastAsia="Times New Roman" w:hAnsi="Arial" w:cs="Arial"/>
                <w:b/>
                <w:i/>
                <w:iCs/>
                <w:sz w:val="16"/>
                <w:szCs w:val="16"/>
                <w:lang w:eastAsia="en-IN"/>
              </w:rPr>
              <w:t>Pujari Sudharsana</w:t>
            </w:r>
            <w:r w:rsidR="00151DD0">
              <w:rPr>
                <w:rFonts w:ascii="Arial" w:eastAsia="Times New Roman" w:hAnsi="Arial" w:cs="Arial"/>
                <w:b/>
                <w:i/>
                <w:iCs/>
                <w:sz w:val="16"/>
                <w:szCs w:val="16"/>
                <w:lang w:eastAsia="en-IN"/>
              </w:rPr>
              <w:t xml:space="preserve"> </w:t>
            </w:r>
            <w:r w:rsidRPr="001F1DF1">
              <w:rPr>
                <w:rFonts w:ascii="Arial" w:eastAsia="Times New Roman" w:hAnsi="Arial" w:cs="Arial"/>
                <w:b/>
                <w:i/>
                <w:iCs/>
                <w:sz w:val="16"/>
                <w:szCs w:val="16"/>
                <w:lang w:eastAsia="en-IN"/>
              </w:rPr>
              <w:t>Reddy</w:t>
            </w:r>
          </w:p>
          <w:p w14:paraId="28112E3C" w14:textId="77777777" w:rsidR="001F1DF1" w:rsidRDefault="001F1DF1" w:rsidP="001F1DF1">
            <w:pPr>
              <w:jc w:val="center"/>
              <w:outlineLvl w:val="0"/>
              <w:rPr>
                <w:rFonts w:ascii="Arial" w:hAnsi="Arial" w:cs="Arial"/>
                <w:sz w:val="16"/>
                <w:szCs w:val="16"/>
              </w:rPr>
            </w:pPr>
            <w:r w:rsidRPr="001F1DF1">
              <w:rPr>
                <w:rFonts w:ascii="Arial" w:hAnsi="Arial" w:cs="Arial"/>
                <w:sz w:val="16"/>
                <w:szCs w:val="16"/>
              </w:rPr>
              <w:t xml:space="preserve">Assistant Professor, Faculty of Management Studies, </w:t>
            </w:r>
          </w:p>
          <w:p w14:paraId="2F817CB4" w14:textId="6418D786" w:rsidR="001F1DF1" w:rsidRPr="001F1DF1" w:rsidRDefault="001F1DF1" w:rsidP="001F1DF1">
            <w:pPr>
              <w:jc w:val="center"/>
              <w:outlineLvl w:val="0"/>
              <w:rPr>
                <w:rFonts w:ascii="Arial" w:hAnsi="Arial" w:cs="Arial"/>
                <w:sz w:val="16"/>
                <w:szCs w:val="16"/>
              </w:rPr>
            </w:pPr>
            <w:r w:rsidRPr="001F1DF1">
              <w:rPr>
                <w:rFonts w:ascii="Arial" w:hAnsi="Arial" w:cs="Arial"/>
                <w:sz w:val="16"/>
                <w:szCs w:val="16"/>
              </w:rPr>
              <w:t xml:space="preserve">CMS Business School, </w:t>
            </w:r>
          </w:p>
          <w:p w14:paraId="01698CC0" w14:textId="3627859F" w:rsidR="001F1DF1" w:rsidRPr="001F1DF1" w:rsidRDefault="001F1DF1" w:rsidP="001F1DF1">
            <w:pPr>
              <w:jc w:val="center"/>
              <w:outlineLvl w:val="0"/>
              <w:rPr>
                <w:rFonts w:ascii="Arial" w:hAnsi="Arial" w:cs="Arial"/>
                <w:sz w:val="16"/>
                <w:szCs w:val="16"/>
              </w:rPr>
            </w:pPr>
            <w:r w:rsidRPr="001F1DF1">
              <w:rPr>
                <w:rFonts w:ascii="Arial" w:hAnsi="Arial" w:cs="Arial"/>
                <w:sz w:val="16"/>
                <w:szCs w:val="16"/>
              </w:rPr>
              <w:t xml:space="preserve">JAIN (Deemed-to-be University) Bangalore, India. </w:t>
            </w:r>
          </w:p>
        </w:tc>
      </w:tr>
    </w:tbl>
    <w:p w14:paraId="01508629" w14:textId="77777777" w:rsidR="001F1DF1" w:rsidRPr="001F1DF1" w:rsidRDefault="001F1DF1" w:rsidP="001F1DF1">
      <w:pPr>
        <w:spacing w:after="0" w:line="240" w:lineRule="auto"/>
        <w:jc w:val="center"/>
        <w:outlineLvl w:val="0"/>
        <w:rPr>
          <w:rFonts w:ascii="Times New Roman" w:eastAsia="Times New Roman" w:hAnsi="Times New Roman" w:cs="Times New Roman"/>
          <w:b/>
          <w:bCs/>
          <w:kern w:val="36"/>
          <w:sz w:val="32"/>
          <w:szCs w:val="32"/>
          <w:lang w:eastAsia="en-IN"/>
        </w:rPr>
      </w:pPr>
    </w:p>
    <w:p w14:paraId="3458DE84" w14:textId="77777777" w:rsidR="00CF5DD6" w:rsidRPr="001F1DF1" w:rsidRDefault="00CF5DD6" w:rsidP="001F1DF1">
      <w:pPr>
        <w:spacing w:after="0" w:line="240" w:lineRule="auto"/>
        <w:ind w:left="720" w:right="386"/>
        <w:jc w:val="center"/>
        <w:outlineLvl w:val="1"/>
        <w:rPr>
          <w:rFonts w:ascii="Arial" w:eastAsia="Times New Roman" w:hAnsi="Arial" w:cs="Arial"/>
          <w:b/>
          <w:bCs/>
          <w:i/>
          <w:iCs/>
          <w:sz w:val="18"/>
          <w:szCs w:val="18"/>
          <w:lang w:eastAsia="en-IN"/>
        </w:rPr>
      </w:pPr>
      <w:r w:rsidRPr="001F1DF1">
        <w:rPr>
          <w:rFonts w:ascii="Arial" w:eastAsia="Times New Roman" w:hAnsi="Arial" w:cs="Arial"/>
          <w:b/>
          <w:bCs/>
          <w:i/>
          <w:iCs/>
          <w:sz w:val="18"/>
          <w:szCs w:val="18"/>
          <w:lang w:eastAsia="en-IN"/>
        </w:rPr>
        <w:t>Abstract</w:t>
      </w:r>
    </w:p>
    <w:p w14:paraId="0FF11D53" w14:textId="77777777" w:rsidR="001F1DF1" w:rsidRPr="001F1DF1" w:rsidRDefault="001F1DF1" w:rsidP="001F1DF1">
      <w:pPr>
        <w:spacing w:after="0" w:line="240" w:lineRule="auto"/>
        <w:ind w:left="720" w:right="386"/>
        <w:jc w:val="both"/>
        <w:outlineLvl w:val="1"/>
        <w:rPr>
          <w:rFonts w:ascii="Arial" w:eastAsia="Times New Roman" w:hAnsi="Arial" w:cs="Arial"/>
          <w:b/>
          <w:bCs/>
          <w:sz w:val="18"/>
          <w:szCs w:val="18"/>
          <w:lang w:eastAsia="en-IN"/>
        </w:rPr>
      </w:pPr>
    </w:p>
    <w:p w14:paraId="505D4219" w14:textId="77777777" w:rsidR="00CF5DD6" w:rsidRDefault="00CF5DD6" w:rsidP="001F1DF1">
      <w:pPr>
        <w:spacing w:after="0" w:line="240" w:lineRule="auto"/>
        <w:ind w:left="720" w:right="386"/>
        <w:jc w:val="both"/>
        <w:rPr>
          <w:rFonts w:ascii="Arial" w:eastAsia="Times New Roman" w:hAnsi="Arial" w:cs="Arial"/>
          <w:sz w:val="18"/>
          <w:szCs w:val="18"/>
          <w:lang w:eastAsia="en-IN"/>
        </w:rPr>
      </w:pPr>
      <w:r w:rsidRPr="001F1DF1">
        <w:rPr>
          <w:rFonts w:ascii="Arial" w:eastAsia="Times New Roman" w:hAnsi="Arial" w:cs="Arial"/>
          <w:sz w:val="18"/>
          <w:szCs w:val="18"/>
          <w:lang w:eastAsia="en-IN"/>
        </w:rPr>
        <w:t>Effective GST reconciliation is critical for safeguarding Input Tax Credit (ITC) and ensuring regulatory compliance in India’s digitised tax environment. Firms must match their purchase registers with vendor-reported GSTR-2B statements, facing recurring challenges in documentation gaps, rate mismatches, and timing discrepancies. This case frames the reconciliation process as a systems and governance challenge, recommending a structured pre-filing routine—combining automated downloads, systematic maker-checker reviews, robust evidence management, and proactive client education. Internship insights are aligned with recent academic findings and policy guidance, while limitations concerning data fidelity and implementation are noted. ​</w:t>
      </w:r>
    </w:p>
    <w:p w14:paraId="57205A72" w14:textId="77777777" w:rsidR="001F1DF1" w:rsidRPr="001F1DF1" w:rsidRDefault="001F1DF1" w:rsidP="001F1DF1">
      <w:pPr>
        <w:spacing w:after="0" w:line="240" w:lineRule="auto"/>
        <w:ind w:left="720" w:right="386"/>
        <w:jc w:val="both"/>
        <w:rPr>
          <w:rFonts w:ascii="Arial" w:eastAsia="Times New Roman" w:hAnsi="Arial" w:cs="Arial"/>
          <w:sz w:val="18"/>
          <w:szCs w:val="18"/>
          <w:lang w:eastAsia="en-IN"/>
        </w:rPr>
      </w:pPr>
    </w:p>
    <w:p w14:paraId="24BD9240" w14:textId="25F96411" w:rsidR="00CF5DD6" w:rsidRPr="001F1DF1" w:rsidRDefault="00CF5DD6" w:rsidP="001F1DF1">
      <w:pPr>
        <w:spacing w:after="0" w:line="240" w:lineRule="auto"/>
        <w:ind w:left="720" w:right="386"/>
        <w:jc w:val="both"/>
        <w:rPr>
          <w:rFonts w:ascii="Arial" w:eastAsia="Times New Roman" w:hAnsi="Arial" w:cs="Arial"/>
          <w:sz w:val="18"/>
          <w:szCs w:val="18"/>
          <w:lang w:eastAsia="en-IN"/>
        </w:rPr>
      </w:pPr>
      <w:r w:rsidRPr="001F1DF1">
        <w:rPr>
          <w:rFonts w:ascii="Arial" w:eastAsia="Times New Roman" w:hAnsi="Arial" w:cs="Arial"/>
          <w:b/>
          <w:bCs/>
          <w:sz w:val="18"/>
          <w:szCs w:val="18"/>
          <w:lang w:eastAsia="en-IN"/>
        </w:rPr>
        <w:t>Keywords</w:t>
      </w:r>
      <w:r w:rsidRPr="001F1DF1">
        <w:rPr>
          <w:rFonts w:ascii="Arial" w:eastAsia="Times New Roman" w:hAnsi="Arial" w:cs="Arial"/>
          <w:sz w:val="18"/>
          <w:szCs w:val="18"/>
          <w:lang w:eastAsia="en-IN"/>
        </w:rPr>
        <w:t>: GST, GSTR-2B, Input Tax Credit, reconciliation, maker-checker, client education, evidence artefacts</w:t>
      </w:r>
      <w:r w:rsidR="00151DD0">
        <w:rPr>
          <w:rFonts w:ascii="Arial" w:eastAsia="Times New Roman" w:hAnsi="Arial" w:cs="Arial"/>
          <w:sz w:val="18"/>
          <w:szCs w:val="18"/>
          <w:lang w:eastAsia="en-IN"/>
        </w:rPr>
        <w:t>.</w:t>
      </w:r>
    </w:p>
    <w:p w14:paraId="511B7D68" w14:textId="77777777" w:rsidR="001F1DF1" w:rsidRDefault="001F1DF1" w:rsidP="001F1DF1">
      <w:pPr>
        <w:spacing w:after="120" w:line="276" w:lineRule="auto"/>
        <w:jc w:val="both"/>
        <w:outlineLvl w:val="1"/>
        <w:rPr>
          <w:rFonts w:ascii="Arial" w:eastAsia="Times New Roman" w:hAnsi="Arial" w:cs="Arial"/>
          <w:b/>
          <w:bCs/>
          <w:lang w:eastAsia="en-IN"/>
        </w:rPr>
      </w:pPr>
    </w:p>
    <w:p w14:paraId="26A6DAB8" w14:textId="77777777" w:rsidR="001F1DF1" w:rsidRDefault="001F1DF1" w:rsidP="001F1DF1">
      <w:pPr>
        <w:spacing w:after="120" w:line="276" w:lineRule="auto"/>
        <w:jc w:val="both"/>
        <w:outlineLvl w:val="1"/>
        <w:rPr>
          <w:rFonts w:ascii="Arial" w:eastAsia="Times New Roman" w:hAnsi="Arial" w:cs="Arial"/>
          <w:b/>
          <w:bCs/>
          <w:lang w:eastAsia="en-IN"/>
        </w:rPr>
        <w:sectPr w:rsidR="001F1DF1" w:rsidSect="00DD4664">
          <w:headerReference w:type="even" r:id="rId8"/>
          <w:headerReference w:type="default" r:id="rId9"/>
          <w:pgSz w:w="11906" w:h="16838"/>
          <w:pgMar w:top="1440" w:right="1440" w:bottom="1440" w:left="1440" w:header="1008" w:footer="708" w:gutter="0"/>
          <w:pgNumType w:start="5"/>
          <w:cols w:space="708"/>
          <w:docGrid w:linePitch="360"/>
        </w:sectPr>
      </w:pPr>
    </w:p>
    <w:p w14:paraId="17A05A93" w14:textId="7619A6A8"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Introduction</w:t>
      </w:r>
    </w:p>
    <w:p w14:paraId="7DBF6B27"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 xml:space="preserve">This case study traces the end-to-end GST reconciliation process within a professional accounting firm, highlighting practical steps: invoice verification, extraction of GSTR-2B, Excel-based matching, supplier liaison, and final corrections. Common challenges </w:t>
      </w:r>
      <w:proofErr w:type="spellStart"/>
      <w:r w:rsidRPr="001F1DF1">
        <w:rPr>
          <w:rFonts w:ascii="Arial" w:eastAsia="Times New Roman" w:hAnsi="Arial" w:cs="Arial"/>
          <w:lang w:eastAsia="en-IN"/>
        </w:rPr>
        <w:t>centered</w:t>
      </w:r>
      <w:proofErr w:type="spellEnd"/>
      <w:r w:rsidRPr="001F1DF1">
        <w:rPr>
          <w:rFonts w:ascii="Arial" w:eastAsia="Times New Roman" w:hAnsi="Arial" w:cs="Arial"/>
          <w:lang w:eastAsia="en-IN"/>
        </w:rPr>
        <w:t xml:space="preserve"> around missing invoices, inaccurate rates, and linkage errors with PAN details. Addressing these issues requires a managerial shift from ad-hoc, deadline-driven solutions toward a standardised pre-filing system. The goal is to detect variances early, establish consistent documentation standards, and reinforce disclosure duties through client education. The process is informed by ICAI, GSTN, and CBDT guidelines, with emphasis on contemporaneity of evidence, privacy safeguards, and operational efficiency.</w:t>
      </w:r>
    </w:p>
    <w:p w14:paraId="337EA863"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 xml:space="preserve">Recent literature on tax compliance confirms the benefits of automation and documentation. Bellon et al. (2022) argue that digitisation improves transparency and </w:t>
      </w:r>
      <w:r w:rsidRPr="001F1DF1">
        <w:rPr>
          <w:rFonts w:ascii="Arial" w:eastAsia="Times New Roman" w:hAnsi="Arial" w:cs="Arial"/>
          <w:lang w:eastAsia="en-IN"/>
        </w:rPr>
        <w:t>reduces error rates when paired with clear reconciliation protocols and regular communication with clients. Research from Nay et al. (2024) on technology-driven compliance illustrates the importance of maker-checker frameworks and evidence artefacts, especially when managing large and dynamic tax datasets.</w:t>
      </w:r>
    </w:p>
    <w:p w14:paraId="1D0EA320"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About the Industry</w:t>
      </w:r>
    </w:p>
    <w:p w14:paraId="5594CF33"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 xml:space="preserve">India's GST system mandates reconciliation between vendor-reported data (GSTR-2B) and a firm's purchase register to validate ITC claims. Regulatory bodies advocate comprehensive documentation, privacy controls, and automated reporting tools to reduce manual rework and mitigate deadline pressures. The GSTN recommends automated downloads and reconciliation dashboards, while parallel lessons from income tax (AIS/26AS alignment) highlight the value of multi-source verification. The profession increasingly relies on secure data management platforms and role-based access to protect sensitive client </w:t>
      </w:r>
      <w:r w:rsidRPr="001F1DF1">
        <w:rPr>
          <w:rFonts w:ascii="Arial" w:eastAsia="Times New Roman" w:hAnsi="Arial" w:cs="Arial"/>
          <w:lang w:eastAsia="en-IN"/>
        </w:rPr>
        <w:lastRenderedPageBreak/>
        <w:t>evidence and track audit trails. Persistent frictions—timing gaps in uploads, frequent schema changes, and limited client understanding of non-cash flows—continue to challenge practice.</w:t>
      </w:r>
    </w:p>
    <w:p w14:paraId="48DDC9CB"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About the Company</w:t>
      </w:r>
    </w:p>
    <w:p w14:paraId="7F934AA8"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The focal firm, equipped with modern digital filing capabilities, initially lacked a formalised, automated reconciliation routine. Internship experience demonstrated the value of implementing stepwise procedures: invoice review, supplier engagement, variance corrections, and final ITC validation. The transition to a systematised approach required designing SOPs, secure document repositories with audit controls, and regular client communication protocols. Evidence artefacts—including supplier confirmations and revised invoices—were centralised for transparency and future reference. These reforms aligned the firm’s practices with national industry standards and improved both ITC realisation and audit readiness.</w:t>
      </w:r>
    </w:p>
    <w:p w14:paraId="50A40E09"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Problems in the Industry</w:t>
      </w:r>
    </w:p>
    <w:p w14:paraId="40BB449D" w14:textId="77777777" w:rsidR="00CF5DD6" w:rsidRPr="001F1DF1" w:rsidRDefault="00CF5DD6" w:rsidP="001F1DF1">
      <w:pPr>
        <w:spacing w:after="120" w:line="276" w:lineRule="auto"/>
        <w:ind w:firstLine="360"/>
        <w:jc w:val="both"/>
        <w:rPr>
          <w:rFonts w:ascii="Arial" w:eastAsia="Times New Roman" w:hAnsi="Arial" w:cs="Arial"/>
          <w:lang w:eastAsia="en-IN"/>
        </w:rPr>
      </w:pPr>
      <w:r w:rsidRPr="001F1DF1">
        <w:rPr>
          <w:rFonts w:ascii="Arial" w:eastAsia="Times New Roman" w:hAnsi="Arial" w:cs="Arial"/>
          <w:lang w:eastAsia="en-IN"/>
        </w:rPr>
        <w:t>GST reconciliation in India faces technical and procedural hurdles:</w:t>
      </w:r>
    </w:p>
    <w:p w14:paraId="6B44109A" w14:textId="77777777" w:rsidR="00CF5DD6" w:rsidRPr="001F1DF1" w:rsidRDefault="00CF5DD6" w:rsidP="001F1DF1">
      <w:pPr>
        <w:numPr>
          <w:ilvl w:val="0"/>
          <w:numId w:val="1"/>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t>Delays and timing gaps in supplier data uploads increase the risk of missed credits and penalties.</w:t>
      </w:r>
    </w:p>
    <w:p w14:paraId="2D3DCE6B" w14:textId="77777777" w:rsidR="00CF5DD6" w:rsidRPr="001F1DF1" w:rsidRDefault="00CF5DD6" w:rsidP="001F1DF1">
      <w:pPr>
        <w:numPr>
          <w:ilvl w:val="0"/>
          <w:numId w:val="1"/>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t>Frequent changes to portal schemas and reporting requirements cause confusion and inefficiency.</w:t>
      </w:r>
    </w:p>
    <w:p w14:paraId="3724BD0F" w14:textId="77777777" w:rsidR="00CF5DD6" w:rsidRPr="001F1DF1" w:rsidRDefault="00CF5DD6" w:rsidP="001F1DF1">
      <w:pPr>
        <w:numPr>
          <w:ilvl w:val="0"/>
          <w:numId w:val="1"/>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t>Clients often fail to understand the nuances of ITC eligibility, especially regarding non-cash advances and rate adjustments.</w:t>
      </w:r>
    </w:p>
    <w:p w14:paraId="1775A84A"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 xml:space="preserve">Academic research highlights the importance of workflow automation and standardized checklists. </w:t>
      </w:r>
      <w:proofErr w:type="spellStart"/>
      <w:r w:rsidRPr="001F1DF1">
        <w:rPr>
          <w:rFonts w:ascii="Arial" w:eastAsia="Times New Roman" w:hAnsi="Arial" w:cs="Arial"/>
          <w:lang w:eastAsia="en-IN"/>
        </w:rPr>
        <w:t>Kochanova</w:t>
      </w:r>
      <w:proofErr w:type="spellEnd"/>
      <w:r w:rsidRPr="001F1DF1">
        <w:rPr>
          <w:rFonts w:ascii="Arial" w:eastAsia="Times New Roman" w:hAnsi="Arial" w:cs="Arial"/>
          <w:lang w:eastAsia="en-IN"/>
        </w:rPr>
        <w:t xml:space="preserve"> et al. (2016) found that e-filing and reconciliation processes substantially reduced errors and </w:t>
      </w:r>
      <w:r w:rsidRPr="001F1DF1">
        <w:rPr>
          <w:rFonts w:ascii="Arial" w:eastAsia="Times New Roman" w:hAnsi="Arial" w:cs="Arial"/>
          <w:lang w:eastAsia="en-IN"/>
        </w:rPr>
        <w:t>rework, but noted the necessity of clear documentation protocols and audit trails for long-term sustainability. ICAI, GSTN, and CBDT advisories all emphasise contemporaneous documentation, automated variance reporting, and dual-layer maker-checker review as industry best practices.</w:t>
      </w:r>
    </w:p>
    <w:p w14:paraId="17C5EF6F"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Problems Faced by the Company</w:t>
      </w:r>
    </w:p>
    <w:p w14:paraId="1F7F32EB"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For the firm in focus, missing supplier invoices, incorrect tax rates, and portal mismatches were recurrent and costly. Reactive supplier communication and inconsistent evidence storage lengthened reconciliation cycles and threatened ITC. Adoption of a pre-filing checklist, automated GSTR-2B downloads, and a structured client disclosure form made the process proactive and auditable, reducing errors and enhancing compliance outcomes. Role-based access to evidence repositories and systematic variance resolution reinforced data privacy and operational efficiency.</w:t>
      </w:r>
    </w:p>
    <w:p w14:paraId="6DD120AF"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Academic Literature Review</w:t>
      </w:r>
    </w:p>
    <w:p w14:paraId="0ADFC613" w14:textId="77777777" w:rsidR="00CF5DD6" w:rsidRPr="001F1DF1" w:rsidRDefault="00CF5DD6" w:rsidP="001F1DF1">
      <w:pPr>
        <w:spacing w:after="120" w:line="276" w:lineRule="auto"/>
        <w:ind w:firstLine="360"/>
        <w:jc w:val="both"/>
        <w:rPr>
          <w:rFonts w:ascii="Arial" w:eastAsia="Times New Roman" w:hAnsi="Arial" w:cs="Arial"/>
          <w:lang w:eastAsia="en-IN"/>
        </w:rPr>
      </w:pPr>
      <w:r w:rsidRPr="001F1DF1">
        <w:rPr>
          <w:rFonts w:ascii="Arial" w:eastAsia="Times New Roman" w:hAnsi="Arial" w:cs="Arial"/>
          <w:lang w:eastAsia="en-IN"/>
        </w:rPr>
        <w:t>Recent academic studies provide models and frameworks to enhance GST reconciliation:</w:t>
      </w:r>
    </w:p>
    <w:p w14:paraId="45BE7AFA" w14:textId="77777777" w:rsidR="00CF5DD6" w:rsidRPr="001F1DF1" w:rsidRDefault="00CF5DD6" w:rsidP="001F1DF1">
      <w:pPr>
        <w:numPr>
          <w:ilvl w:val="0"/>
          <w:numId w:val="2"/>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t>Bellon et al. (2022) document how digitised tax systems with pre-filing controls improve accuracy and reporting timeliness. Their research in Peru and India is instructive for Indian GST firms.</w:t>
      </w:r>
    </w:p>
    <w:p w14:paraId="3780ABE0" w14:textId="77777777" w:rsidR="00CF5DD6" w:rsidRPr="001F1DF1" w:rsidRDefault="00CF5DD6" w:rsidP="001F1DF1">
      <w:pPr>
        <w:numPr>
          <w:ilvl w:val="0"/>
          <w:numId w:val="2"/>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t>Nay et al. (2024) explore automated compliance solutions, highlighting the role of evidence artefacts and multi-layered review in ensuring accuracy amid complex data environments. ​</w:t>
      </w:r>
    </w:p>
    <w:p w14:paraId="5E4E8F28" w14:textId="77777777" w:rsidR="00CF5DD6" w:rsidRPr="001F1DF1" w:rsidRDefault="00CF5DD6" w:rsidP="001F1DF1">
      <w:pPr>
        <w:numPr>
          <w:ilvl w:val="0"/>
          <w:numId w:val="2"/>
        </w:numPr>
        <w:spacing w:after="120" w:line="276" w:lineRule="auto"/>
        <w:jc w:val="both"/>
        <w:rPr>
          <w:rFonts w:ascii="Arial" w:eastAsia="Times New Roman" w:hAnsi="Arial" w:cs="Arial"/>
          <w:lang w:eastAsia="en-IN"/>
        </w:rPr>
      </w:pPr>
      <w:proofErr w:type="spellStart"/>
      <w:r w:rsidRPr="001F1DF1">
        <w:rPr>
          <w:rFonts w:ascii="Arial" w:eastAsia="Times New Roman" w:hAnsi="Arial" w:cs="Arial"/>
          <w:lang w:eastAsia="en-IN"/>
        </w:rPr>
        <w:t>Kochanova</w:t>
      </w:r>
      <w:proofErr w:type="spellEnd"/>
      <w:r w:rsidRPr="001F1DF1">
        <w:rPr>
          <w:rFonts w:ascii="Arial" w:eastAsia="Times New Roman" w:hAnsi="Arial" w:cs="Arial"/>
          <w:lang w:eastAsia="en-IN"/>
        </w:rPr>
        <w:t xml:space="preserve"> et al. (2016) demonstrate that robust e-filing adoption and document management drive down error rates and increase overall taxpayer trust.</w:t>
      </w:r>
    </w:p>
    <w:p w14:paraId="06D6E91F" w14:textId="77777777" w:rsidR="00CF5DD6" w:rsidRPr="001F1DF1" w:rsidRDefault="00CF5DD6" w:rsidP="001F1DF1">
      <w:pPr>
        <w:numPr>
          <w:ilvl w:val="0"/>
          <w:numId w:val="2"/>
        </w:numPr>
        <w:spacing w:after="120" w:line="276" w:lineRule="auto"/>
        <w:jc w:val="both"/>
        <w:rPr>
          <w:rFonts w:ascii="Arial" w:eastAsia="Times New Roman" w:hAnsi="Arial" w:cs="Arial"/>
          <w:lang w:eastAsia="en-IN"/>
        </w:rPr>
      </w:pPr>
      <w:r w:rsidRPr="001F1DF1">
        <w:rPr>
          <w:rFonts w:ascii="Arial" w:eastAsia="Times New Roman" w:hAnsi="Arial" w:cs="Arial"/>
          <w:lang w:eastAsia="en-IN"/>
        </w:rPr>
        <w:lastRenderedPageBreak/>
        <w:t>ICAI (2023) and GSTN (2024) provide practice guidance for SOP development, audit trails, and client education strategies.</w:t>
      </w:r>
    </w:p>
    <w:p w14:paraId="7DB9F9D6"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Academic Learning</w:t>
      </w:r>
    </w:p>
    <w:p w14:paraId="62B2940E"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The case provides a framework for students to design and implement a GST reconciliation operating system:</w:t>
      </w:r>
    </w:p>
    <w:p w14:paraId="77E6CD1A" w14:textId="77777777" w:rsidR="00CF5DD6" w:rsidRPr="001F1DF1" w:rsidRDefault="00CF5DD6" w:rsidP="00DD4664">
      <w:pPr>
        <w:numPr>
          <w:ilvl w:val="0"/>
          <w:numId w:val="3"/>
        </w:numPr>
        <w:tabs>
          <w:tab w:val="clear" w:pos="720"/>
        </w:tabs>
        <w:spacing w:after="120" w:line="276" w:lineRule="auto"/>
        <w:ind w:left="540"/>
        <w:jc w:val="both"/>
        <w:rPr>
          <w:rFonts w:ascii="Arial" w:eastAsia="Times New Roman" w:hAnsi="Arial" w:cs="Arial"/>
          <w:lang w:eastAsia="en-IN"/>
        </w:rPr>
      </w:pPr>
      <w:r w:rsidRPr="001F1DF1">
        <w:rPr>
          <w:rFonts w:ascii="Arial" w:eastAsia="Times New Roman" w:hAnsi="Arial" w:cs="Arial"/>
          <w:lang w:eastAsia="en-IN"/>
        </w:rPr>
        <w:t>Automate GSTR-2B retrieval and integration with purchase registers.</w:t>
      </w:r>
    </w:p>
    <w:p w14:paraId="6C574D7D" w14:textId="77777777" w:rsidR="00CF5DD6" w:rsidRPr="001F1DF1" w:rsidRDefault="00CF5DD6" w:rsidP="00DD4664">
      <w:pPr>
        <w:numPr>
          <w:ilvl w:val="0"/>
          <w:numId w:val="3"/>
        </w:numPr>
        <w:tabs>
          <w:tab w:val="clear" w:pos="720"/>
        </w:tabs>
        <w:spacing w:after="120" w:line="276" w:lineRule="auto"/>
        <w:ind w:left="540"/>
        <w:jc w:val="both"/>
        <w:rPr>
          <w:rFonts w:ascii="Arial" w:eastAsia="Times New Roman" w:hAnsi="Arial" w:cs="Arial"/>
          <w:lang w:eastAsia="en-IN"/>
        </w:rPr>
      </w:pPr>
      <w:r w:rsidRPr="001F1DF1">
        <w:rPr>
          <w:rFonts w:ascii="Arial" w:eastAsia="Times New Roman" w:hAnsi="Arial" w:cs="Arial"/>
          <w:lang w:eastAsia="en-IN"/>
        </w:rPr>
        <w:t>Standardise evidence artefacts (e.g., supplier confirmations, invoice corrections) and implement a secure repository.</w:t>
      </w:r>
    </w:p>
    <w:p w14:paraId="6C4495BD" w14:textId="77777777" w:rsidR="00CF5DD6" w:rsidRPr="001F1DF1" w:rsidRDefault="00CF5DD6" w:rsidP="00DD4664">
      <w:pPr>
        <w:numPr>
          <w:ilvl w:val="0"/>
          <w:numId w:val="3"/>
        </w:numPr>
        <w:tabs>
          <w:tab w:val="clear" w:pos="720"/>
        </w:tabs>
        <w:spacing w:after="120" w:line="276" w:lineRule="auto"/>
        <w:ind w:left="540"/>
        <w:jc w:val="both"/>
        <w:rPr>
          <w:rFonts w:ascii="Arial" w:eastAsia="Times New Roman" w:hAnsi="Arial" w:cs="Arial"/>
          <w:lang w:eastAsia="en-IN"/>
        </w:rPr>
      </w:pPr>
      <w:r w:rsidRPr="001F1DF1">
        <w:rPr>
          <w:rFonts w:ascii="Arial" w:eastAsia="Times New Roman" w:hAnsi="Arial" w:cs="Arial"/>
          <w:lang w:eastAsia="en-IN"/>
        </w:rPr>
        <w:t>Codify maker-checker routines for variance approval.</w:t>
      </w:r>
    </w:p>
    <w:p w14:paraId="1E317211" w14:textId="77777777" w:rsidR="00CF5DD6" w:rsidRPr="001F1DF1" w:rsidRDefault="00CF5DD6" w:rsidP="00DD4664">
      <w:pPr>
        <w:numPr>
          <w:ilvl w:val="0"/>
          <w:numId w:val="3"/>
        </w:numPr>
        <w:tabs>
          <w:tab w:val="clear" w:pos="720"/>
        </w:tabs>
        <w:spacing w:after="120" w:line="276" w:lineRule="auto"/>
        <w:ind w:left="540"/>
        <w:jc w:val="both"/>
        <w:rPr>
          <w:rFonts w:ascii="Arial" w:eastAsia="Times New Roman" w:hAnsi="Arial" w:cs="Arial"/>
          <w:lang w:eastAsia="en-IN"/>
        </w:rPr>
      </w:pPr>
      <w:r w:rsidRPr="001F1DF1">
        <w:rPr>
          <w:rFonts w:ascii="Arial" w:eastAsia="Times New Roman" w:hAnsi="Arial" w:cs="Arial"/>
          <w:lang w:eastAsia="en-IN"/>
        </w:rPr>
        <w:t>Develop targeted client education materials to support full and timely disclosures.</w:t>
      </w:r>
    </w:p>
    <w:p w14:paraId="69F1BA22" w14:textId="77777777" w:rsidR="00CF5DD6" w:rsidRPr="001F1DF1" w:rsidRDefault="00CF5DD6" w:rsidP="00DD4664">
      <w:pPr>
        <w:numPr>
          <w:ilvl w:val="0"/>
          <w:numId w:val="3"/>
        </w:numPr>
        <w:tabs>
          <w:tab w:val="clear" w:pos="720"/>
        </w:tabs>
        <w:spacing w:after="120" w:line="276" w:lineRule="auto"/>
        <w:ind w:left="540"/>
        <w:jc w:val="both"/>
        <w:rPr>
          <w:rFonts w:ascii="Arial" w:eastAsia="Times New Roman" w:hAnsi="Arial" w:cs="Arial"/>
          <w:lang w:eastAsia="en-IN"/>
        </w:rPr>
      </w:pPr>
      <w:r w:rsidRPr="001F1DF1">
        <w:rPr>
          <w:rFonts w:ascii="Arial" w:eastAsia="Times New Roman" w:hAnsi="Arial" w:cs="Arial"/>
          <w:lang w:eastAsia="en-IN"/>
        </w:rPr>
        <w:t>Deliverables should include written SOPs, control matrices, and KPI dashboards covering variance ageing, rework rates, penalty avoidance, and client satisfaction.</w:t>
      </w:r>
    </w:p>
    <w:p w14:paraId="797EA0E3"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Conclusion</w:t>
      </w:r>
    </w:p>
    <w:p w14:paraId="09EF0BF2" w14:textId="77777777" w:rsidR="00CF5DD6" w:rsidRPr="001F1DF1" w:rsidRDefault="00CF5DD6" w:rsidP="001F1DF1">
      <w:pPr>
        <w:spacing w:after="120" w:line="276" w:lineRule="auto"/>
        <w:ind w:firstLine="720"/>
        <w:jc w:val="both"/>
        <w:rPr>
          <w:rFonts w:ascii="Arial" w:eastAsia="Times New Roman" w:hAnsi="Arial" w:cs="Arial"/>
          <w:lang w:eastAsia="en-IN"/>
        </w:rPr>
      </w:pPr>
      <w:r w:rsidRPr="001F1DF1">
        <w:rPr>
          <w:rFonts w:ascii="Arial" w:eastAsia="Times New Roman" w:hAnsi="Arial" w:cs="Arial"/>
          <w:lang w:eastAsia="en-IN"/>
        </w:rPr>
        <w:t>Transitioning from ad-hoc fixes to a systematised GST reconciliation process delivers measurable improvements in ITC protection, compliance timeliness, and client trust. The case demonstrates that automation, robust documentation, and proactive client education are essential to navigate India’s complex GST environment. Academic research and professional standards affirm that these strategies reduce error rates, improve audit readiness, and foster sustainable regulatory compliance, provided implementation fidelity and data quality are sustained.</w:t>
      </w:r>
    </w:p>
    <w:p w14:paraId="32A9F08C"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Case Questions</w:t>
      </w:r>
    </w:p>
    <w:p w14:paraId="3C7DF617" w14:textId="77777777" w:rsidR="00CF5DD6" w:rsidRPr="001F1DF1" w:rsidRDefault="00CF5DD6" w:rsidP="001F1DF1">
      <w:pPr>
        <w:numPr>
          <w:ilvl w:val="0"/>
          <w:numId w:val="4"/>
        </w:numPr>
        <w:tabs>
          <w:tab w:val="clear" w:pos="720"/>
        </w:tabs>
        <w:spacing w:after="120" w:line="276" w:lineRule="auto"/>
        <w:ind w:left="360"/>
        <w:jc w:val="both"/>
        <w:rPr>
          <w:rFonts w:ascii="Arial" w:eastAsia="Times New Roman" w:hAnsi="Arial" w:cs="Arial"/>
          <w:lang w:eastAsia="en-IN"/>
        </w:rPr>
      </w:pPr>
      <w:r w:rsidRPr="001F1DF1">
        <w:rPr>
          <w:rFonts w:ascii="Arial" w:eastAsia="Times New Roman" w:hAnsi="Arial" w:cs="Arial"/>
          <w:lang w:eastAsia="en-IN"/>
        </w:rPr>
        <w:t xml:space="preserve">Draft a pre-filing reconciliation SOP incorporating automated GSTR-2B </w:t>
      </w:r>
      <w:r w:rsidRPr="001F1DF1">
        <w:rPr>
          <w:rFonts w:ascii="Arial" w:eastAsia="Times New Roman" w:hAnsi="Arial" w:cs="Arial"/>
          <w:lang w:eastAsia="en-IN"/>
        </w:rPr>
        <w:t>retrieval, evidence artefact management, and maker-checker review protocols.</w:t>
      </w:r>
    </w:p>
    <w:p w14:paraId="475691EB" w14:textId="77777777" w:rsidR="00CF5DD6" w:rsidRPr="001F1DF1" w:rsidRDefault="00CF5DD6" w:rsidP="001F1DF1">
      <w:pPr>
        <w:numPr>
          <w:ilvl w:val="0"/>
          <w:numId w:val="4"/>
        </w:numPr>
        <w:tabs>
          <w:tab w:val="clear" w:pos="720"/>
        </w:tabs>
        <w:spacing w:after="120" w:line="276" w:lineRule="auto"/>
        <w:ind w:left="360"/>
        <w:jc w:val="both"/>
        <w:rPr>
          <w:rFonts w:ascii="Arial" w:eastAsia="Times New Roman" w:hAnsi="Arial" w:cs="Arial"/>
          <w:lang w:eastAsia="en-IN"/>
        </w:rPr>
      </w:pPr>
      <w:r w:rsidRPr="001F1DF1">
        <w:rPr>
          <w:rFonts w:ascii="Arial" w:eastAsia="Times New Roman" w:hAnsi="Arial" w:cs="Arial"/>
          <w:lang w:eastAsia="en-IN"/>
        </w:rPr>
        <w:t>Design a secure digital repository with role-based access controls and comprehensive audit trails for all reconciliation evidence.</w:t>
      </w:r>
    </w:p>
    <w:p w14:paraId="5F28BBBC" w14:textId="77777777" w:rsidR="00CF5DD6" w:rsidRPr="001F1DF1" w:rsidRDefault="00CF5DD6" w:rsidP="001F1DF1">
      <w:pPr>
        <w:numPr>
          <w:ilvl w:val="0"/>
          <w:numId w:val="4"/>
        </w:numPr>
        <w:tabs>
          <w:tab w:val="clear" w:pos="720"/>
        </w:tabs>
        <w:spacing w:after="120" w:line="276" w:lineRule="auto"/>
        <w:ind w:left="360"/>
        <w:jc w:val="both"/>
        <w:rPr>
          <w:rFonts w:ascii="Arial" w:eastAsia="Times New Roman" w:hAnsi="Arial" w:cs="Arial"/>
          <w:lang w:eastAsia="en-IN"/>
        </w:rPr>
      </w:pPr>
      <w:r w:rsidRPr="001F1DF1">
        <w:rPr>
          <w:rFonts w:ascii="Arial" w:eastAsia="Times New Roman" w:hAnsi="Arial" w:cs="Arial"/>
          <w:lang w:eastAsia="en-IN"/>
        </w:rPr>
        <w:t>Create a client disclosure checklist and communication strategy to enhance completeness and timeliness of documentation.</w:t>
      </w:r>
    </w:p>
    <w:p w14:paraId="38B7138F" w14:textId="77777777" w:rsidR="00CF5DD6" w:rsidRPr="001F1DF1" w:rsidRDefault="00CF5DD6" w:rsidP="001F1DF1">
      <w:pPr>
        <w:numPr>
          <w:ilvl w:val="0"/>
          <w:numId w:val="4"/>
        </w:numPr>
        <w:tabs>
          <w:tab w:val="clear" w:pos="720"/>
        </w:tabs>
        <w:spacing w:after="120" w:line="276" w:lineRule="auto"/>
        <w:ind w:left="360"/>
        <w:jc w:val="both"/>
        <w:rPr>
          <w:rFonts w:ascii="Arial" w:eastAsia="Times New Roman" w:hAnsi="Arial" w:cs="Arial"/>
          <w:lang w:eastAsia="en-IN"/>
        </w:rPr>
      </w:pPr>
      <w:r w:rsidRPr="001F1DF1">
        <w:rPr>
          <w:rFonts w:ascii="Arial" w:eastAsia="Times New Roman" w:hAnsi="Arial" w:cs="Arial"/>
          <w:lang w:eastAsia="en-IN"/>
        </w:rPr>
        <w:t>Define KPIs and dashboard elements for tracking variance ageing, rework frequency, penalty prevention, and satisfaction outcomes.</w:t>
      </w:r>
    </w:p>
    <w:p w14:paraId="62761CE1" w14:textId="77777777" w:rsidR="00CF5DD6" w:rsidRPr="001F1DF1" w:rsidRDefault="00CF5DD6" w:rsidP="001F1DF1">
      <w:pPr>
        <w:spacing w:after="120" w:line="276" w:lineRule="auto"/>
        <w:jc w:val="center"/>
        <w:outlineLvl w:val="1"/>
        <w:rPr>
          <w:rFonts w:ascii="Arial" w:eastAsia="Times New Roman" w:hAnsi="Arial" w:cs="Arial"/>
          <w:b/>
          <w:bCs/>
          <w:caps/>
          <w:lang w:eastAsia="en-IN"/>
        </w:rPr>
      </w:pPr>
      <w:r w:rsidRPr="001F1DF1">
        <w:rPr>
          <w:rFonts w:ascii="Arial" w:eastAsia="Times New Roman" w:hAnsi="Arial" w:cs="Arial"/>
          <w:b/>
          <w:bCs/>
          <w:caps/>
          <w:lang w:eastAsia="en-IN"/>
        </w:rPr>
        <w:t>References (APA Style)</w:t>
      </w:r>
    </w:p>
    <w:p w14:paraId="683ECBF6" w14:textId="77777777" w:rsidR="00CF5DD6" w:rsidRPr="001F1DF1" w:rsidRDefault="00CF5DD6" w:rsidP="00DD4664">
      <w:pPr>
        <w:spacing w:after="120" w:line="276" w:lineRule="auto"/>
        <w:ind w:left="720" w:hanging="720"/>
        <w:jc w:val="both"/>
        <w:rPr>
          <w:rFonts w:ascii="Arial" w:eastAsia="Times New Roman" w:hAnsi="Arial" w:cs="Arial"/>
          <w:lang w:eastAsia="en-IN"/>
        </w:rPr>
      </w:pPr>
      <w:r w:rsidRPr="001F1DF1">
        <w:rPr>
          <w:rFonts w:ascii="Arial" w:eastAsia="Times New Roman" w:hAnsi="Arial" w:cs="Arial"/>
          <w:lang w:eastAsia="en-IN"/>
        </w:rPr>
        <w:t xml:space="preserve">Bellon, M., Dabla-Norris, E., Khalid, S., &amp; Lima, F. (2022). Digitalization to improve tax compliance: Evidence from Peru. Journal of Public Economics, 210, 104661. </w:t>
      </w:r>
      <w:hyperlink r:id="rId10" w:tgtFrame="_blank" w:history="1">
        <w:r w:rsidRPr="001F1DF1">
          <w:rPr>
            <w:rFonts w:ascii="Arial" w:eastAsia="Times New Roman" w:hAnsi="Arial" w:cs="Arial"/>
            <w:color w:val="0000FF"/>
            <w:u w:val="single"/>
            <w:lang w:eastAsia="en-IN"/>
          </w:rPr>
          <w:t>https://doi.org/10.1016/j.jpubeco.2022.104661</w:t>
        </w:r>
      </w:hyperlink>
      <w:hyperlink r:id="rId11" w:tgtFrame="_blank" w:history="1">
        <w:r w:rsidRPr="001F1DF1">
          <w:rPr>
            <w:rFonts w:ascii="Arial" w:eastAsia="Times New Roman" w:hAnsi="Arial" w:cs="Arial"/>
            <w:color w:val="0000FF"/>
            <w:u w:val="single"/>
            <w:lang w:eastAsia="en-IN"/>
          </w:rPr>
          <w:t>pmc.ncbi.nlm.nih</w:t>
        </w:r>
      </w:hyperlink>
      <w:r w:rsidRPr="001F1DF1">
        <w:rPr>
          <w:rFonts w:ascii="Arial" w:eastAsia="Times New Roman" w:hAnsi="Arial" w:cs="Arial"/>
          <w:lang w:eastAsia="en-IN"/>
        </w:rPr>
        <w:t>​</w:t>
      </w:r>
    </w:p>
    <w:p w14:paraId="4C238F9B" w14:textId="77777777" w:rsidR="00CF5DD6" w:rsidRPr="001F1DF1" w:rsidRDefault="00CF5DD6" w:rsidP="00DD4664">
      <w:pPr>
        <w:spacing w:after="120" w:line="276" w:lineRule="auto"/>
        <w:ind w:left="720" w:hanging="720"/>
        <w:jc w:val="both"/>
        <w:rPr>
          <w:rFonts w:ascii="Arial" w:eastAsia="Times New Roman" w:hAnsi="Arial" w:cs="Arial"/>
          <w:lang w:eastAsia="en-IN"/>
        </w:rPr>
      </w:pPr>
      <w:proofErr w:type="spellStart"/>
      <w:r w:rsidRPr="001F1DF1">
        <w:rPr>
          <w:rFonts w:ascii="Arial" w:eastAsia="Times New Roman" w:hAnsi="Arial" w:cs="Arial"/>
          <w:lang w:eastAsia="en-IN"/>
        </w:rPr>
        <w:t>Kochanova</w:t>
      </w:r>
      <w:proofErr w:type="spellEnd"/>
      <w:r w:rsidRPr="001F1DF1">
        <w:rPr>
          <w:rFonts w:ascii="Arial" w:eastAsia="Times New Roman" w:hAnsi="Arial" w:cs="Arial"/>
          <w:lang w:eastAsia="en-IN"/>
        </w:rPr>
        <w:t>, A., Hasnain, Z., &amp; Larson, B. (2016). E-filing and tax compliance. World Development, 96, 506–527.</w:t>
      </w:r>
    </w:p>
    <w:p w14:paraId="0B491516" w14:textId="77777777" w:rsidR="00CF5DD6" w:rsidRPr="001F1DF1" w:rsidRDefault="00CF5DD6" w:rsidP="00DD4664">
      <w:pPr>
        <w:spacing w:after="120" w:line="276" w:lineRule="auto"/>
        <w:ind w:left="720" w:hanging="720"/>
        <w:jc w:val="both"/>
        <w:rPr>
          <w:rFonts w:ascii="Arial" w:eastAsia="Times New Roman" w:hAnsi="Arial" w:cs="Arial"/>
          <w:lang w:eastAsia="en-IN"/>
        </w:rPr>
      </w:pPr>
      <w:r w:rsidRPr="001F1DF1">
        <w:rPr>
          <w:rFonts w:ascii="Arial" w:eastAsia="Times New Roman" w:hAnsi="Arial" w:cs="Arial"/>
          <w:lang w:eastAsia="en-IN"/>
        </w:rPr>
        <w:t xml:space="preserve">Nay, J. J., Karamardian, D., Lawsky, S. B., et al. (2024). Large language models as tax attorneys: A case study in legal capabilities emergence. Philosophical Transactions of the Royal Society A, 382(2270), 20230159. </w:t>
      </w:r>
      <w:hyperlink r:id="rId12" w:tgtFrame="_blank" w:history="1">
        <w:r w:rsidRPr="001F1DF1">
          <w:rPr>
            <w:rFonts w:ascii="Arial" w:eastAsia="Times New Roman" w:hAnsi="Arial" w:cs="Arial"/>
            <w:color w:val="0000FF"/>
            <w:u w:val="single"/>
            <w:lang w:eastAsia="en-IN"/>
          </w:rPr>
          <w:t>https://doi.org/10.1098/rsta.2023.0159</w:t>
        </w:r>
      </w:hyperlink>
      <w:hyperlink r:id="rId13" w:tgtFrame="_blank" w:history="1">
        <w:r w:rsidRPr="001F1DF1">
          <w:rPr>
            <w:rFonts w:ascii="Arial" w:eastAsia="Times New Roman" w:hAnsi="Arial" w:cs="Arial"/>
            <w:color w:val="0000FF"/>
            <w:u w:val="single"/>
            <w:lang w:eastAsia="en-IN"/>
          </w:rPr>
          <w:t>pmc.ncbi.nlm.nih</w:t>
        </w:r>
      </w:hyperlink>
      <w:r w:rsidRPr="001F1DF1">
        <w:rPr>
          <w:rFonts w:ascii="Arial" w:eastAsia="Times New Roman" w:hAnsi="Arial" w:cs="Arial"/>
          <w:lang w:eastAsia="en-IN"/>
        </w:rPr>
        <w:t>​</w:t>
      </w:r>
    </w:p>
    <w:p w14:paraId="18CC21BD" w14:textId="77777777" w:rsidR="001F1DF1" w:rsidRDefault="00CF5DD6" w:rsidP="00DD4664">
      <w:pPr>
        <w:spacing w:after="120" w:line="276" w:lineRule="auto"/>
        <w:ind w:left="720" w:hanging="720"/>
        <w:jc w:val="both"/>
        <w:rPr>
          <w:rFonts w:ascii="Arial" w:eastAsia="Times New Roman" w:hAnsi="Arial" w:cs="Arial"/>
          <w:lang w:eastAsia="en-IN"/>
        </w:rPr>
      </w:pPr>
      <w:r w:rsidRPr="001F1DF1">
        <w:rPr>
          <w:rFonts w:ascii="Arial" w:eastAsia="Times New Roman" w:hAnsi="Arial" w:cs="Arial"/>
          <w:lang w:eastAsia="en-IN"/>
        </w:rPr>
        <w:t>Central Board of Direct Taxes. (2023). Annual Information Statement (AIS) and Form 26AS—Consolidation and corrections. Government of India.24MBAR0126-DUVVURU-PRIYANKA-PUJARI-SUDHARSANA-REDDY-CASE-STUDY.docx​</w:t>
      </w:r>
    </w:p>
    <w:p w14:paraId="4EF5275F" w14:textId="530F9B78" w:rsidR="00CF5DD6" w:rsidRPr="001F1DF1" w:rsidRDefault="00CF5DD6" w:rsidP="00DD4664">
      <w:pPr>
        <w:spacing w:after="120" w:line="276" w:lineRule="auto"/>
        <w:ind w:left="720" w:hanging="720"/>
        <w:jc w:val="both"/>
        <w:rPr>
          <w:rFonts w:ascii="Arial" w:eastAsia="Times New Roman" w:hAnsi="Arial" w:cs="Arial"/>
          <w:lang w:eastAsia="en-IN"/>
        </w:rPr>
      </w:pPr>
      <w:proofErr w:type="spellStart"/>
      <w:r w:rsidRPr="001F1DF1">
        <w:rPr>
          <w:rFonts w:ascii="Arial" w:eastAsia="Times New Roman" w:hAnsi="Arial" w:cs="Arial"/>
          <w:lang w:eastAsia="en-IN"/>
        </w:rPr>
        <w:lastRenderedPageBreak/>
        <w:t>Duvvuru</w:t>
      </w:r>
      <w:proofErr w:type="spellEnd"/>
      <w:r w:rsidRPr="001F1DF1">
        <w:rPr>
          <w:rFonts w:ascii="Arial" w:eastAsia="Times New Roman" w:hAnsi="Arial" w:cs="Arial"/>
          <w:lang w:eastAsia="en-IN"/>
        </w:rPr>
        <w:t>, P. (2025). Short case study: GST reconciliation challenge (Unpublished internship case study).</w:t>
      </w:r>
    </w:p>
    <w:p w14:paraId="2DF4550F" w14:textId="77777777" w:rsidR="00CF5DD6" w:rsidRPr="001F1DF1" w:rsidRDefault="00CF5DD6" w:rsidP="00DD4664">
      <w:pPr>
        <w:spacing w:after="120" w:line="276" w:lineRule="auto"/>
        <w:ind w:left="720" w:hanging="720"/>
        <w:jc w:val="both"/>
        <w:rPr>
          <w:rFonts w:ascii="Arial" w:eastAsia="Times New Roman" w:hAnsi="Arial" w:cs="Arial"/>
          <w:lang w:eastAsia="en-IN"/>
        </w:rPr>
      </w:pPr>
      <w:r w:rsidRPr="001F1DF1">
        <w:rPr>
          <w:rFonts w:ascii="Arial" w:eastAsia="Times New Roman" w:hAnsi="Arial" w:cs="Arial"/>
          <w:lang w:eastAsia="en-IN"/>
        </w:rPr>
        <w:t>Goods and Services Tax Network. (2024). GSTR-2B and reconciliation advisories. GSTN.24MBAR0126-DUVVURU-PRIYANKA-PUJARI-SUDHARSANA-REDDY-CASE-STUDY.docx​</w:t>
      </w:r>
    </w:p>
    <w:p w14:paraId="116FE95C" w14:textId="77777777" w:rsidR="00CF5DD6" w:rsidRDefault="00CF5DD6" w:rsidP="00DD4664">
      <w:pPr>
        <w:spacing w:after="120" w:line="276" w:lineRule="auto"/>
        <w:ind w:left="720" w:hanging="720"/>
        <w:jc w:val="both"/>
        <w:rPr>
          <w:rFonts w:ascii="Arial" w:eastAsia="Times New Roman" w:hAnsi="Arial" w:cs="Arial"/>
          <w:lang w:eastAsia="en-IN"/>
        </w:rPr>
      </w:pPr>
      <w:r w:rsidRPr="001F1DF1">
        <w:rPr>
          <w:rFonts w:ascii="Arial" w:eastAsia="Times New Roman" w:hAnsi="Arial" w:cs="Arial"/>
          <w:lang w:eastAsia="en-IN"/>
        </w:rPr>
        <w:t>Institute of Chartered Accountants of India. (2023). Technical guide on GST reconciliations and ITC claims. ICAI.24MBAR0126-DUVVURU-PRIYANKA-PUJARI-SUDHARSANA-REDDY-CASE-STUDY.docx​</w:t>
      </w:r>
    </w:p>
    <w:p w14:paraId="1EE65A91" w14:textId="77777777" w:rsidR="00DD4664" w:rsidRDefault="00DD4664" w:rsidP="00DD4664">
      <w:pPr>
        <w:spacing w:after="120" w:line="276" w:lineRule="auto"/>
        <w:ind w:left="720" w:hanging="720"/>
        <w:jc w:val="both"/>
        <w:rPr>
          <w:rFonts w:ascii="Arial" w:eastAsia="Times New Roman" w:hAnsi="Arial" w:cs="Arial"/>
          <w:lang w:eastAsia="en-IN"/>
        </w:rPr>
      </w:pPr>
    </w:p>
    <w:p w14:paraId="0FC0C11B" w14:textId="77777777" w:rsidR="00DD4664" w:rsidRDefault="00DD4664" w:rsidP="00DD4664">
      <w:pPr>
        <w:spacing w:after="120" w:line="276" w:lineRule="auto"/>
        <w:ind w:left="720" w:hanging="720"/>
        <w:jc w:val="both"/>
        <w:rPr>
          <w:rFonts w:ascii="Arial" w:eastAsia="Times New Roman" w:hAnsi="Arial" w:cs="Arial"/>
          <w:lang w:eastAsia="en-IN"/>
        </w:rPr>
      </w:pPr>
    </w:p>
    <w:p w14:paraId="1939043C" w14:textId="77777777" w:rsidR="00DD4664" w:rsidRDefault="00DD4664" w:rsidP="00DD4664">
      <w:pPr>
        <w:spacing w:after="120" w:line="276" w:lineRule="auto"/>
        <w:ind w:left="720" w:hanging="720"/>
        <w:jc w:val="both"/>
        <w:rPr>
          <w:rFonts w:ascii="Arial" w:eastAsia="Times New Roman" w:hAnsi="Arial" w:cs="Arial"/>
          <w:lang w:eastAsia="en-IN"/>
        </w:rPr>
      </w:pPr>
    </w:p>
    <w:p w14:paraId="10189083" w14:textId="77777777" w:rsidR="00DD4664" w:rsidRPr="001F1DF1" w:rsidRDefault="00DD4664" w:rsidP="00DD4664">
      <w:pPr>
        <w:spacing w:after="120" w:line="276" w:lineRule="auto"/>
        <w:ind w:left="720" w:hanging="720"/>
        <w:jc w:val="both"/>
        <w:rPr>
          <w:rFonts w:ascii="Arial" w:eastAsia="Times New Roman" w:hAnsi="Arial" w:cs="Arial"/>
          <w:lang w:eastAsia="en-IN"/>
        </w:rPr>
      </w:pPr>
    </w:p>
    <w:p w14:paraId="5CED36F6" w14:textId="77777777" w:rsidR="001F1DF1" w:rsidRDefault="001F1DF1" w:rsidP="001F1DF1">
      <w:pPr>
        <w:spacing w:after="120" w:line="276" w:lineRule="auto"/>
        <w:jc w:val="both"/>
        <w:rPr>
          <w:rFonts w:ascii="Arial" w:hAnsi="Arial" w:cs="Arial"/>
        </w:rPr>
      </w:pPr>
    </w:p>
    <w:p w14:paraId="40686D09" w14:textId="77777777" w:rsidR="001F1DF1" w:rsidRDefault="001F1DF1" w:rsidP="001F1DF1">
      <w:pPr>
        <w:spacing w:after="120" w:line="276" w:lineRule="auto"/>
        <w:jc w:val="both"/>
        <w:rPr>
          <w:rFonts w:ascii="Arial" w:hAnsi="Arial" w:cs="Arial"/>
        </w:rPr>
      </w:pPr>
    </w:p>
    <w:p w14:paraId="081CC187" w14:textId="77777777" w:rsidR="001F1DF1" w:rsidRDefault="001F1DF1" w:rsidP="001F1DF1">
      <w:pPr>
        <w:spacing w:after="120" w:line="276" w:lineRule="auto"/>
        <w:jc w:val="both"/>
        <w:rPr>
          <w:rFonts w:ascii="Arial" w:hAnsi="Arial" w:cs="Arial"/>
        </w:rPr>
      </w:pPr>
    </w:p>
    <w:p w14:paraId="73B21102" w14:textId="77777777" w:rsidR="001F1DF1" w:rsidRDefault="001F1DF1" w:rsidP="001F1DF1">
      <w:pPr>
        <w:spacing w:after="120" w:line="276" w:lineRule="auto"/>
        <w:jc w:val="both"/>
        <w:rPr>
          <w:rFonts w:ascii="Arial" w:hAnsi="Arial" w:cs="Arial"/>
        </w:rPr>
      </w:pPr>
    </w:p>
    <w:p w14:paraId="65DD0371" w14:textId="77777777" w:rsidR="001F1DF1" w:rsidRDefault="001F1DF1" w:rsidP="001F1DF1">
      <w:pPr>
        <w:spacing w:after="120" w:line="276" w:lineRule="auto"/>
        <w:jc w:val="both"/>
        <w:rPr>
          <w:rFonts w:ascii="Arial" w:hAnsi="Arial" w:cs="Arial"/>
        </w:rPr>
      </w:pPr>
    </w:p>
    <w:p w14:paraId="485CE6BA" w14:textId="77777777" w:rsidR="001F1DF1" w:rsidRDefault="001F1DF1" w:rsidP="001F1DF1">
      <w:pPr>
        <w:spacing w:after="120" w:line="276" w:lineRule="auto"/>
        <w:jc w:val="both"/>
        <w:rPr>
          <w:rFonts w:ascii="Arial" w:hAnsi="Arial" w:cs="Arial"/>
        </w:rPr>
      </w:pPr>
    </w:p>
    <w:p w14:paraId="042523F1" w14:textId="77777777" w:rsidR="001F1DF1" w:rsidRDefault="001F1DF1" w:rsidP="001F1DF1">
      <w:pPr>
        <w:spacing w:after="120" w:line="276" w:lineRule="auto"/>
        <w:jc w:val="both"/>
        <w:rPr>
          <w:rFonts w:ascii="Arial" w:hAnsi="Arial" w:cs="Arial"/>
        </w:rPr>
      </w:pPr>
    </w:p>
    <w:p w14:paraId="6A2199CF" w14:textId="77777777" w:rsidR="001F1DF1" w:rsidRDefault="001F1DF1" w:rsidP="001F1DF1">
      <w:pPr>
        <w:spacing w:after="120" w:line="276" w:lineRule="auto"/>
        <w:jc w:val="both"/>
        <w:rPr>
          <w:rFonts w:ascii="Arial" w:hAnsi="Arial" w:cs="Arial"/>
        </w:rPr>
        <w:sectPr w:rsidR="001F1DF1" w:rsidSect="00DD4664">
          <w:headerReference w:type="even" r:id="rId14"/>
          <w:type w:val="continuous"/>
          <w:pgSz w:w="11906" w:h="16838" w:code="9"/>
          <w:pgMar w:top="1440" w:right="1440" w:bottom="1440" w:left="1440" w:header="1008" w:footer="706" w:gutter="0"/>
          <w:cols w:num="2" w:space="708"/>
          <w:docGrid w:linePitch="360"/>
        </w:sectPr>
      </w:pPr>
    </w:p>
    <w:p w14:paraId="0D5817C9" w14:textId="77777777" w:rsidR="00853FEB" w:rsidRPr="001F1DF1" w:rsidRDefault="00853FEB" w:rsidP="001F1DF1">
      <w:pPr>
        <w:spacing w:after="120" w:line="276" w:lineRule="auto"/>
        <w:jc w:val="both"/>
        <w:rPr>
          <w:rFonts w:ascii="Arial" w:hAnsi="Arial" w:cs="Arial"/>
        </w:rPr>
      </w:pPr>
    </w:p>
    <w:sectPr w:rsidR="00853FEB" w:rsidRPr="001F1DF1" w:rsidSect="001F1DF1">
      <w:type w:val="continuous"/>
      <w:pgSz w:w="11906" w:h="16838"/>
      <w:pgMar w:top="1440" w:right="1440" w:bottom="1440" w:left="1440" w:header="10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400E" w14:textId="77777777" w:rsidR="00BD18DC" w:rsidRDefault="00BD18DC" w:rsidP="001F1DF1">
      <w:pPr>
        <w:spacing w:after="0" w:line="240" w:lineRule="auto"/>
      </w:pPr>
      <w:r>
        <w:separator/>
      </w:r>
    </w:p>
  </w:endnote>
  <w:endnote w:type="continuationSeparator" w:id="0">
    <w:p w14:paraId="0903F1A3" w14:textId="77777777" w:rsidR="00BD18DC" w:rsidRDefault="00BD18DC" w:rsidP="001F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2570" w14:textId="77777777" w:rsidR="00BD18DC" w:rsidRDefault="00BD18DC" w:rsidP="001F1DF1">
      <w:pPr>
        <w:spacing w:after="0" w:line="240" w:lineRule="auto"/>
      </w:pPr>
      <w:r>
        <w:separator/>
      </w:r>
    </w:p>
  </w:footnote>
  <w:footnote w:type="continuationSeparator" w:id="0">
    <w:p w14:paraId="6552F5F8" w14:textId="77777777" w:rsidR="00BD18DC" w:rsidRDefault="00BD18DC" w:rsidP="001F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C6F7" w14:textId="5FA5AB62" w:rsidR="00DD4664" w:rsidRPr="00DD4664" w:rsidRDefault="00DD4664" w:rsidP="00DD466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8C8D" w14:textId="7372E377" w:rsidR="001F1DF1" w:rsidRPr="00DD4664" w:rsidRDefault="001F1DF1" w:rsidP="001F1DF1">
    <w:pPr>
      <w:pStyle w:val="Header"/>
      <w:pBdr>
        <w:bottom w:val="single" w:sz="4" w:space="1" w:color="auto"/>
      </w:pBdr>
      <w:rPr>
        <w:rFonts w:ascii="Arial" w:hAnsi="Arial" w:cs="Arial"/>
        <w:i/>
        <w:iCs/>
        <w:sz w:val="16"/>
        <w:szCs w:val="16"/>
      </w:rPr>
    </w:pPr>
    <w:r w:rsidRPr="00DD4664">
      <w:rPr>
        <w:rFonts w:ascii="Arial" w:hAnsi="Arial" w:cs="Arial"/>
        <w:i/>
        <w:iCs/>
        <w:sz w:val="16"/>
        <w:szCs w:val="16"/>
      </w:rPr>
      <w:t>2025</w:t>
    </w:r>
    <w:r w:rsidRPr="00DD4664">
      <w:rPr>
        <w:rFonts w:ascii="Arial" w:hAnsi="Arial" w:cs="Arial"/>
        <w:i/>
        <w:iCs/>
        <w:sz w:val="16"/>
        <w:szCs w:val="16"/>
      </w:rPr>
      <w:tab/>
    </w:r>
    <w:proofErr w:type="spellStart"/>
    <w:r w:rsidR="00DD4664" w:rsidRPr="00DD4664">
      <w:rPr>
        <w:rFonts w:ascii="Arial" w:hAnsi="Arial" w:cs="Arial"/>
        <w:i/>
        <w:iCs/>
        <w:sz w:val="16"/>
        <w:szCs w:val="16"/>
      </w:rPr>
      <w:t>Duvvuru</w:t>
    </w:r>
    <w:proofErr w:type="spellEnd"/>
    <w:r w:rsidR="00DD4664" w:rsidRPr="00DD4664">
      <w:rPr>
        <w:rFonts w:ascii="Arial" w:hAnsi="Arial" w:cs="Arial"/>
        <w:i/>
        <w:iCs/>
        <w:sz w:val="16"/>
        <w:szCs w:val="16"/>
      </w:rPr>
      <w:t xml:space="preserve"> Priyanka, Pujari – Sudharsana - Reddy</w:t>
    </w:r>
    <w:r w:rsidRPr="00DD4664">
      <w:rPr>
        <w:rFonts w:ascii="Arial" w:hAnsi="Arial" w:cs="Arial"/>
        <w:i/>
        <w:iCs/>
        <w:sz w:val="16"/>
        <w:szCs w:val="16"/>
      </w:rPr>
      <w:tab/>
    </w:r>
    <w:r w:rsidRPr="00DD4664">
      <w:rPr>
        <w:rFonts w:ascii="Arial" w:hAnsi="Arial" w:cs="Arial"/>
        <w:i/>
        <w:iCs/>
        <w:sz w:val="16"/>
        <w:szCs w:val="16"/>
      </w:rPr>
      <w:fldChar w:fldCharType="begin"/>
    </w:r>
    <w:r w:rsidRPr="00DD4664">
      <w:rPr>
        <w:rFonts w:ascii="Arial" w:hAnsi="Arial" w:cs="Arial"/>
        <w:i/>
        <w:iCs/>
        <w:sz w:val="16"/>
        <w:szCs w:val="16"/>
      </w:rPr>
      <w:instrText xml:space="preserve"> PAGE   \* MERGEFORMAT </w:instrText>
    </w:r>
    <w:r w:rsidRPr="00DD4664">
      <w:rPr>
        <w:rFonts w:ascii="Arial" w:hAnsi="Arial" w:cs="Arial"/>
        <w:i/>
        <w:iCs/>
        <w:sz w:val="16"/>
        <w:szCs w:val="16"/>
      </w:rPr>
      <w:fldChar w:fldCharType="separate"/>
    </w:r>
    <w:r w:rsidRPr="00DD4664">
      <w:rPr>
        <w:rFonts w:ascii="Arial" w:hAnsi="Arial" w:cs="Arial"/>
        <w:i/>
        <w:iCs/>
        <w:sz w:val="16"/>
        <w:szCs w:val="16"/>
      </w:rPr>
      <w:t>1</w:t>
    </w:r>
    <w:r w:rsidRPr="00DD4664">
      <w:rPr>
        <w:rFonts w:ascii="Arial" w:hAnsi="Arial" w:cs="Arial"/>
        <w:i/>
        <w:iCs/>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F035" w14:textId="628E885A" w:rsidR="0007086B" w:rsidRPr="00DD4664" w:rsidRDefault="0007086B" w:rsidP="00DD4664">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4</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2B19"/>
    <w:multiLevelType w:val="multilevel"/>
    <w:tmpl w:val="531E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72AAC"/>
    <w:multiLevelType w:val="multilevel"/>
    <w:tmpl w:val="7D0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E5C0E"/>
    <w:multiLevelType w:val="multilevel"/>
    <w:tmpl w:val="ADDE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30CFD"/>
    <w:multiLevelType w:val="multilevel"/>
    <w:tmpl w:val="CD6C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21366"/>
    <w:multiLevelType w:val="multilevel"/>
    <w:tmpl w:val="C51A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270F6"/>
    <w:multiLevelType w:val="multilevel"/>
    <w:tmpl w:val="AC7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54228">
    <w:abstractNumId w:val="5"/>
  </w:num>
  <w:num w:numId="2" w16cid:durableId="416556839">
    <w:abstractNumId w:val="2"/>
  </w:num>
  <w:num w:numId="3" w16cid:durableId="2116556472">
    <w:abstractNumId w:val="1"/>
  </w:num>
  <w:num w:numId="4" w16cid:durableId="1809779040">
    <w:abstractNumId w:val="4"/>
  </w:num>
  <w:num w:numId="5" w16cid:durableId="1294598591">
    <w:abstractNumId w:val="3"/>
  </w:num>
  <w:num w:numId="6" w16cid:durableId="105855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D6"/>
    <w:rsid w:val="0007086B"/>
    <w:rsid w:val="000750DE"/>
    <w:rsid w:val="000D52BE"/>
    <w:rsid w:val="00151DD0"/>
    <w:rsid w:val="00182B8F"/>
    <w:rsid w:val="001F1DF1"/>
    <w:rsid w:val="0020540A"/>
    <w:rsid w:val="002F623C"/>
    <w:rsid w:val="00587473"/>
    <w:rsid w:val="007D3D00"/>
    <w:rsid w:val="00801C6D"/>
    <w:rsid w:val="00846EC4"/>
    <w:rsid w:val="00853FEB"/>
    <w:rsid w:val="008F2B44"/>
    <w:rsid w:val="00907E2C"/>
    <w:rsid w:val="009F6859"/>
    <w:rsid w:val="009F71CE"/>
    <w:rsid w:val="00BD18DC"/>
    <w:rsid w:val="00CF5DD6"/>
    <w:rsid w:val="00D037E8"/>
    <w:rsid w:val="00D0524A"/>
    <w:rsid w:val="00D54C29"/>
    <w:rsid w:val="00DD4664"/>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9F2A9"/>
  <w15:chartTrackingRefBased/>
  <w15:docId w15:val="{FAB6EA11-A3EF-4F4C-88AD-1395F113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F5D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D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F5DD6"/>
    <w:rPr>
      <w:rFonts w:ascii="Times New Roman" w:eastAsia="Times New Roman" w:hAnsi="Times New Roman" w:cs="Times New Roman"/>
      <w:b/>
      <w:bCs/>
      <w:sz w:val="36"/>
      <w:szCs w:val="36"/>
      <w:lang w:eastAsia="en-IN"/>
    </w:rPr>
  </w:style>
  <w:style w:type="paragraph" w:customStyle="1" w:styleId="my-2">
    <w:name w:val="my-2"/>
    <w:basedOn w:val="Normal"/>
    <w:rsid w:val="00CF5D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
    <w:name w:val="citation"/>
    <w:basedOn w:val="DefaultParagraphFont"/>
    <w:rsid w:val="00CF5DD6"/>
  </w:style>
  <w:style w:type="character" w:customStyle="1" w:styleId="relative">
    <w:name w:val="relative"/>
    <w:basedOn w:val="DefaultParagraphFont"/>
    <w:rsid w:val="00CF5DD6"/>
  </w:style>
  <w:style w:type="character" w:styleId="Hyperlink">
    <w:name w:val="Hyperlink"/>
    <w:basedOn w:val="DefaultParagraphFont"/>
    <w:uiPriority w:val="99"/>
    <w:unhideWhenUsed/>
    <w:rsid w:val="00CF5DD6"/>
    <w:rPr>
      <w:color w:val="0000FF"/>
      <w:u w:val="single"/>
    </w:rPr>
  </w:style>
  <w:style w:type="character" w:customStyle="1" w:styleId="opacity-50">
    <w:name w:val="opacity-50"/>
    <w:basedOn w:val="DefaultParagraphFont"/>
    <w:rsid w:val="00CF5DD6"/>
  </w:style>
  <w:style w:type="character" w:styleId="Strong">
    <w:name w:val="Strong"/>
    <w:basedOn w:val="DefaultParagraphFont"/>
    <w:uiPriority w:val="22"/>
    <w:qFormat/>
    <w:rsid w:val="00CF5DD6"/>
    <w:rPr>
      <w:b/>
      <w:bCs/>
    </w:rPr>
  </w:style>
  <w:style w:type="paragraph" w:styleId="Header">
    <w:name w:val="header"/>
    <w:basedOn w:val="Normal"/>
    <w:link w:val="HeaderChar"/>
    <w:uiPriority w:val="99"/>
    <w:unhideWhenUsed/>
    <w:rsid w:val="001F1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DF1"/>
  </w:style>
  <w:style w:type="paragraph" w:styleId="Footer">
    <w:name w:val="footer"/>
    <w:basedOn w:val="Normal"/>
    <w:link w:val="FooterChar"/>
    <w:uiPriority w:val="99"/>
    <w:unhideWhenUsed/>
    <w:rsid w:val="001F1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DF1"/>
  </w:style>
  <w:style w:type="table" w:styleId="TableGrid">
    <w:name w:val="Table Grid"/>
    <w:basedOn w:val="TableNormal"/>
    <w:uiPriority w:val="39"/>
    <w:rsid w:val="001F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54098">
      <w:bodyDiv w:val="1"/>
      <w:marLeft w:val="0"/>
      <w:marRight w:val="0"/>
      <w:marTop w:val="0"/>
      <w:marBottom w:val="0"/>
      <w:divBdr>
        <w:top w:val="none" w:sz="0" w:space="0" w:color="auto"/>
        <w:left w:val="none" w:sz="0" w:space="0" w:color="auto"/>
        <w:bottom w:val="none" w:sz="0" w:space="0" w:color="auto"/>
        <w:right w:val="none" w:sz="0" w:space="0" w:color="auto"/>
      </w:divBdr>
      <w:divsChild>
        <w:div w:id="113714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mc.ncbi.nlm.nih.gov/articles/PMC10894689/" TargetMode="External"/><Relationship Id="rId3" Type="http://schemas.openxmlformats.org/officeDocument/2006/relationships/settings" Target="settings.xml"/><Relationship Id="rId7" Type="http://schemas.openxmlformats.org/officeDocument/2006/relationships/hyperlink" Target="https://doi.org/10.5281/zenodo.17719074" TargetMode="External"/><Relationship Id="rId12" Type="http://schemas.openxmlformats.org/officeDocument/2006/relationships/hyperlink" Target="https://doi.org/10.1098/rsta.2023.01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91684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jpubeco.2022.10466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11</cp:revision>
  <dcterms:created xsi:type="dcterms:W3CDTF">2025-10-28T04:22:00Z</dcterms:created>
  <dcterms:modified xsi:type="dcterms:W3CDTF">2025-11-26T05:34:00Z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505eaa44-6119-4dda-b473-e13bbb4a0a1c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