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07780" w14:textId="4766F317" w:rsidR="00130A01" w:rsidRPr="00FA13C3" w:rsidRDefault="00130A01" w:rsidP="00130A01">
      <w:pPr>
        <w:spacing w:after="0" w:line="160" w:lineRule="atLeast"/>
        <w:jc w:val="both"/>
        <w:rPr>
          <w:rFonts w:ascii="Arial" w:eastAsia="Arial" w:hAnsi="Arial" w:cs="Arial"/>
          <w:i/>
          <w:color w:val="000000"/>
          <w:spacing w:val="-1"/>
          <w:sz w:val="14"/>
          <w:szCs w:val="14"/>
        </w:rPr>
      </w:pPr>
      <w:r w:rsidRPr="00FA13C3">
        <w:rPr>
          <w:rFonts w:ascii="Arial" w:eastAsia="Arial" w:hAnsi="Arial" w:cs="Arial"/>
          <w:i/>
          <w:color w:val="000000"/>
          <w:sz w:val="14"/>
          <w:szCs w:val="14"/>
        </w:rPr>
        <w:t>©</w:t>
      </w:r>
      <w:r w:rsidRPr="00FA13C3">
        <w:rPr>
          <w:rFonts w:ascii="Arial" w:eastAsia="Arial" w:hAnsi="Arial" w:cs="Arial"/>
          <w:i/>
          <w:color w:val="000000"/>
          <w:spacing w:val="-1"/>
          <w:sz w:val="14"/>
          <w:szCs w:val="14"/>
        </w:rPr>
        <w:t xml:space="preserve"> </w:t>
      </w:r>
      <w:r w:rsidRPr="00FA13C3">
        <w:rPr>
          <w:rFonts w:ascii="Arial" w:eastAsia="Arial" w:hAnsi="Arial" w:cs="Arial"/>
          <w:i/>
          <w:color w:val="000000"/>
          <w:sz w:val="14"/>
          <w:szCs w:val="14"/>
        </w:rPr>
        <w:t>International</w:t>
      </w:r>
      <w:r w:rsidRPr="00FA13C3">
        <w:rPr>
          <w:rFonts w:ascii="Arial" w:eastAsia="Arial" w:hAnsi="Arial" w:cs="Arial"/>
          <w:i/>
          <w:color w:val="000000"/>
          <w:spacing w:val="-1"/>
          <w:sz w:val="14"/>
          <w:szCs w:val="14"/>
        </w:rPr>
        <w:t xml:space="preserve"> Academic Research Journal of </w:t>
      </w:r>
      <w:r>
        <w:rPr>
          <w:rFonts w:ascii="Arial" w:eastAsia="Arial" w:hAnsi="Arial" w:cs="Arial"/>
          <w:i/>
          <w:color w:val="000000"/>
          <w:spacing w:val="-1"/>
          <w:sz w:val="14"/>
          <w:szCs w:val="14"/>
        </w:rPr>
        <w:t>Economics and Finance</w:t>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sidR="00775DC2">
        <w:rPr>
          <w:rFonts w:ascii="Arial" w:eastAsia="Arial" w:hAnsi="Arial" w:cs="Arial"/>
          <w:i/>
          <w:color w:val="000000"/>
          <w:spacing w:val="-1"/>
          <w:sz w:val="14"/>
          <w:szCs w:val="14"/>
        </w:rPr>
        <w:t xml:space="preserve">                         </w:t>
      </w:r>
      <w:r w:rsidRPr="00812D87">
        <w:rPr>
          <w:rFonts w:ascii="Arial" w:eastAsia="Arial" w:hAnsi="Arial" w:cs="Arial"/>
          <w:i/>
          <w:color w:val="000000" w:themeColor="text1"/>
          <w:spacing w:val="-1"/>
          <w:sz w:val="14"/>
          <w:szCs w:val="14"/>
        </w:rPr>
        <w:t>ISSN:2227-1287</w:t>
      </w:r>
      <w:r>
        <w:rPr>
          <w:rFonts w:ascii="Arial" w:eastAsia="Arial" w:hAnsi="Arial" w:cs="Arial"/>
          <w:i/>
          <w:color w:val="000000"/>
          <w:spacing w:val="-1"/>
          <w:sz w:val="14"/>
          <w:szCs w:val="14"/>
        </w:rPr>
        <w:tab/>
      </w:r>
    </w:p>
    <w:p w14:paraId="39ABF507" w14:textId="77777777" w:rsidR="00775DC2" w:rsidRDefault="00130A01" w:rsidP="00130A01">
      <w:pPr>
        <w:spacing w:after="0" w:line="160" w:lineRule="atLeast"/>
        <w:jc w:val="both"/>
        <w:rPr>
          <w:rFonts w:ascii="Arial" w:eastAsia="Arial" w:hAnsi="Arial" w:cs="Arial"/>
          <w:i/>
          <w:color w:val="000000"/>
          <w:spacing w:val="-1"/>
          <w:sz w:val="14"/>
          <w:szCs w:val="14"/>
        </w:rPr>
      </w:pPr>
      <w:r w:rsidRPr="00DF2646">
        <w:rPr>
          <w:rFonts w:ascii="Arial" w:eastAsia="Arial" w:hAnsi="Arial" w:cs="Arial"/>
          <w:i/>
          <w:color w:val="000000"/>
          <w:spacing w:val="-1"/>
          <w:sz w:val="14"/>
          <w:szCs w:val="14"/>
        </w:rPr>
        <w:t xml:space="preserve">Volume </w:t>
      </w:r>
      <w:r>
        <w:rPr>
          <w:rFonts w:ascii="Arial" w:eastAsia="Arial" w:hAnsi="Arial" w:cs="Arial"/>
          <w:i/>
          <w:color w:val="000000"/>
          <w:spacing w:val="-1"/>
          <w:sz w:val="14"/>
          <w:szCs w:val="14"/>
        </w:rPr>
        <w:t>8</w:t>
      </w:r>
      <w:r w:rsidRPr="00DF2646">
        <w:rPr>
          <w:rFonts w:ascii="Arial" w:eastAsia="Arial" w:hAnsi="Arial" w:cs="Arial"/>
          <w:i/>
          <w:color w:val="000000"/>
          <w:spacing w:val="-1"/>
          <w:sz w:val="14"/>
          <w:szCs w:val="14"/>
        </w:rPr>
        <w:t>, Iss</w:t>
      </w:r>
      <w:r>
        <w:rPr>
          <w:rFonts w:ascii="Arial" w:eastAsia="Arial" w:hAnsi="Arial" w:cs="Arial"/>
          <w:i/>
          <w:color w:val="000000"/>
          <w:spacing w:val="-1"/>
          <w:sz w:val="14"/>
          <w:szCs w:val="14"/>
        </w:rPr>
        <w:t>ue</w:t>
      </w:r>
      <w:r w:rsidRPr="00DF2646">
        <w:rPr>
          <w:rFonts w:ascii="Arial" w:eastAsia="Arial" w:hAnsi="Arial" w:cs="Arial"/>
          <w:i/>
          <w:color w:val="000000"/>
          <w:spacing w:val="-1"/>
          <w:sz w:val="14"/>
          <w:szCs w:val="14"/>
        </w:rPr>
        <w:t xml:space="preserve"> No:</w:t>
      </w:r>
      <w:r>
        <w:rPr>
          <w:rFonts w:ascii="Arial" w:eastAsia="Arial" w:hAnsi="Arial" w:cs="Arial"/>
          <w:i/>
          <w:color w:val="000000"/>
          <w:spacing w:val="-1"/>
          <w:sz w:val="14"/>
          <w:szCs w:val="14"/>
        </w:rPr>
        <w:t>1</w:t>
      </w:r>
      <w:r w:rsidRPr="00DF2646">
        <w:rPr>
          <w:rFonts w:ascii="Arial" w:eastAsia="Arial" w:hAnsi="Arial" w:cs="Arial"/>
          <w:i/>
          <w:color w:val="000000"/>
          <w:spacing w:val="-1"/>
          <w:sz w:val="14"/>
          <w:szCs w:val="14"/>
        </w:rPr>
        <w:t xml:space="preserve">, </w:t>
      </w:r>
      <w:r>
        <w:rPr>
          <w:rFonts w:ascii="Arial" w:eastAsia="Arial" w:hAnsi="Arial" w:cs="Arial"/>
          <w:i/>
          <w:color w:val="000000"/>
          <w:spacing w:val="-1"/>
          <w:sz w:val="14"/>
          <w:szCs w:val="14"/>
        </w:rPr>
        <w:t>December</w:t>
      </w:r>
      <w:r w:rsidRPr="00DF2646">
        <w:rPr>
          <w:rFonts w:ascii="Arial" w:eastAsia="Arial" w:hAnsi="Arial" w:cs="Arial"/>
          <w:i/>
          <w:color w:val="000000"/>
          <w:spacing w:val="-1"/>
          <w:sz w:val="14"/>
          <w:szCs w:val="14"/>
        </w:rPr>
        <w:t xml:space="preserve"> 2025</w:t>
      </w:r>
    </w:p>
    <w:p w14:paraId="48B4C9C9" w14:textId="000EC3C8" w:rsidR="00775DC2" w:rsidRDefault="00775DC2" w:rsidP="00130A01">
      <w:pPr>
        <w:spacing w:after="0" w:line="160" w:lineRule="atLeast"/>
        <w:jc w:val="both"/>
        <w:rPr>
          <w:rFonts w:ascii="Arial" w:eastAsia="Arial" w:hAnsi="Arial" w:cs="Arial"/>
          <w:i/>
          <w:color w:val="000000"/>
          <w:spacing w:val="-1"/>
          <w:sz w:val="14"/>
          <w:szCs w:val="14"/>
        </w:rPr>
      </w:pPr>
      <w:r>
        <w:rPr>
          <w:rFonts w:ascii="Arial" w:eastAsia="Arial" w:hAnsi="Arial" w:cs="Arial"/>
          <w:i/>
          <w:color w:val="000000"/>
          <w:spacing w:val="-1"/>
          <w:sz w:val="14"/>
          <w:szCs w:val="14"/>
        </w:rPr>
        <w:t xml:space="preserve">DOI: </w:t>
      </w:r>
      <w:hyperlink r:id="rId7" w:history="1">
        <w:r w:rsidRPr="002535FD">
          <w:rPr>
            <w:rStyle w:val="Hyperlink"/>
            <w:rFonts w:ascii="Arial" w:eastAsia="Arial" w:hAnsi="Arial" w:cs="Arial"/>
            <w:i/>
            <w:spacing w:val="-1"/>
            <w:sz w:val="14"/>
            <w:szCs w:val="14"/>
          </w:rPr>
          <w:t>https://doi.org/10.5281/zenodo.17719139</w:t>
        </w:r>
      </w:hyperlink>
    </w:p>
    <w:p w14:paraId="59A4EA72" w14:textId="1ADBAA83" w:rsidR="00B8038B" w:rsidRPr="00775DC2" w:rsidRDefault="00130A01" w:rsidP="00775DC2">
      <w:pPr>
        <w:spacing w:after="0" w:line="160" w:lineRule="atLeast"/>
        <w:jc w:val="both"/>
        <w:rPr>
          <w:rFonts w:ascii="Arial" w:eastAsia="Arial" w:hAnsi="Arial" w:cs="Arial"/>
          <w:i/>
          <w:color w:val="000000"/>
          <w:spacing w:val="-1"/>
          <w:sz w:val="14"/>
          <w:szCs w:val="14"/>
        </w:rPr>
      </w:pP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Pr>
          <w:rFonts w:ascii="Arial" w:eastAsia="Arial" w:hAnsi="Arial" w:cs="Arial"/>
          <w:i/>
          <w:color w:val="000000"/>
          <w:spacing w:val="-1"/>
          <w:sz w:val="14"/>
          <w:szCs w:val="14"/>
        </w:rPr>
        <w:tab/>
      </w:r>
    </w:p>
    <w:p w14:paraId="3F2802EF" w14:textId="7566AE53" w:rsidR="00776A64" w:rsidRDefault="00776A64" w:rsidP="00776A64">
      <w:pPr>
        <w:jc w:val="center"/>
        <w:rPr>
          <w:rFonts w:ascii="Times New Roman" w:hAnsi="Times New Roman" w:cs="Times New Roman"/>
          <w:b/>
          <w:bCs/>
          <w:sz w:val="32"/>
          <w:szCs w:val="32"/>
        </w:rPr>
      </w:pPr>
      <w:r w:rsidRPr="00B8038B">
        <w:rPr>
          <w:rFonts w:ascii="Times New Roman" w:hAnsi="Times New Roman" w:cs="Times New Roman"/>
          <w:b/>
          <w:bCs/>
          <w:sz w:val="32"/>
          <w:szCs w:val="32"/>
        </w:rPr>
        <w:t xml:space="preserve">MOJO Campus: Optimising Financial Processes in a Hybrid </w:t>
      </w:r>
      <w:proofErr w:type="gramStart"/>
      <w:r w:rsidRPr="00B8038B">
        <w:rPr>
          <w:rFonts w:ascii="Times New Roman" w:hAnsi="Times New Roman" w:cs="Times New Roman"/>
          <w:b/>
          <w:bCs/>
          <w:sz w:val="32"/>
          <w:szCs w:val="32"/>
        </w:rPr>
        <w:t>Student</w:t>
      </w:r>
      <w:r w:rsidR="00B8038B">
        <w:rPr>
          <w:rFonts w:ascii="Times New Roman" w:hAnsi="Times New Roman" w:cs="Times New Roman"/>
          <w:b/>
          <w:bCs/>
          <w:sz w:val="32"/>
          <w:szCs w:val="32"/>
        </w:rPr>
        <w:t xml:space="preserve">  </w:t>
      </w:r>
      <w:r w:rsidRPr="00B8038B">
        <w:rPr>
          <w:rFonts w:ascii="Times New Roman" w:hAnsi="Times New Roman" w:cs="Times New Roman"/>
          <w:b/>
          <w:bCs/>
          <w:sz w:val="32"/>
          <w:szCs w:val="32"/>
        </w:rPr>
        <w:noBreakHyphen/>
      </w:r>
      <w:proofErr w:type="gramEnd"/>
      <w:r w:rsidR="00B8038B">
        <w:rPr>
          <w:rFonts w:ascii="Times New Roman" w:hAnsi="Times New Roman" w:cs="Times New Roman"/>
          <w:b/>
          <w:bCs/>
          <w:sz w:val="32"/>
          <w:szCs w:val="32"/>
        </w:rPr>
        <w:t xml:space="preserve"> </w:t>
      </w:r>
      <w:r w:rsidRPr="00B8038B">
        <w:rPr>
          <w:rFonts w:ascii="Times New Roman" w:hAnsi="Times New Roman" w:cs="Times New Roman"/>
          <w:b/>
          <w:bCs/>
          <w:sz w:val="32"/>
          <w:szCs w:val="32"/>
        </w:rPr>
        <w:t>Accommodation Model</w:t>
      </w:r>
    </w:p>
    <w:p w14:paraId="4049AF2A" w14:textId="77777777" w:rsidR="00B8038B" w:rsidRPr="00E83FE0" w:rsidRDefault="00B8038B" w:rsidP="00776A64">
      <w:pPr>
        <w:jc w:val="center"/>
        <w:rPr>
          <w:rFonts w:ascii="Times New Roman" w:hAnsi="Times New Roman" w:cs="Times New Roman"/>
          <w:b/>
          <w:bCs/>
          <w:sz w:val="6"/>
          <w:szCs w:val="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3600"/>
      </w:tblGrid>
      <w:tr w:rsidR="00B8038B" w14:paraId="3B72493F" w14:textId="77777777" w:rsidTr="00B8038B">
        <w:trPr>
          <w:jc w:val="center"/>
        </w:trPr>
        <w:tc>
          <w:tcPr>
            <w:tcW w:w="3415" w:type="dxa"/>
          </w:tcPr>
          <w:p w14:paraId="46F81A65" w14:textId="3146CFD3" w:rsidR="00B8038B" w:rsidRPr="00B8038B" w:rsidRDefault="00B8038B" w:rsidP="00B8038B">
            <w:pPr>
              <w:jc w:val="center"/>
              <w:rPr>
                <w:rFonts w:cstheme="minorHAnsi"/>
                <w:i/>
                <w:iCs/>
                <w:sz w:val="16"/>
                <w:szCs w:val="16"/>
              </w:rPr>
            </w:pPr>
            <w:r w:rsidRPr="00B8038B">
              <w:rPr>
                <w:rFonts w:cstheme="minorHAnsi"/>
                <w:b/>
                <w:bCs/>
                <w:i/>
                <w:iCs/>
                <w:sz w:val="16"/>
                <w:szCs w:val="16"/>
              </w:rPr>
              <w:t>Kaushik N</w:t>
            </w:r>
            <w:r w:rsidRPr="00B8038B">
              <w:rPr>
                <w:rFonts w:cstheme="minorHAnsi"/>
                <w:i/>
                <w:iCs/>
                <w:sz w:val="16"/>
                <w:szCs w:val="16"/>
              </w:rPr>
              <w:t xml:space="preserve"> </w:t>
            </w:r>
          </w:p>
          <w:p w14:paraId="3A72B9BB" w14:textId="77777777" w:rsidR="00B8038B" w:rsidRDefault="00B8038B" w:rsidP="00B8038B">
            <w:pPr>
              <w:jc w:val="center"/>
              <w:rPr>
                <w:rFonts w:cstheme="minorHAnsi"/>
                <w:sz w:val="16"/>
                <w:szCs w:val="16"/>
              </w:rPr>
            </w:pPr>
            <w:r w:rsidRPr="00B8038B">
              <w:rPr>
                <w:rFonts w:cstheme="minorHAnsi"/>
                <w:sz w:val="16"/>
                <w:szCs w:val="16"/>
              </w:rPr>
              <w:t xml:space="preserve">Student, Faculty of Management Studies, </w:t>
            </w:r>
          </w:p>
          <w:p w14:paraId="26C02D5F" w14:textId="77777777" w:rsidR="00B8038B" w:rsidRDefault="00B8038B" w:rsidP="00B8038B">
            <w:pPr>
              <w:jc w:val="center"/>
              <w:rPr>
                <w:rFonts w:cstheme="minorHAnsi"/>
                <w:sz w:val="16"/>
                <w:szCs w:val="16"/>
              </w:rPr>
            </w:pPr>
            <w:r w:rsidRPr="00B8038B">
              <w:rPr>
                <w:rFonts w:cstheme="minorHAnsi"/>
                <w:sz w:val="16"/>
                <w:szCs w:val="16"/>
              </w:rPr>
              <w:t xml:space="preserve">CMS Business School, </w:t>
            </w:r>
          </w:p>
          <w:p w14:paraId="522339D9" w14:textId="7019F2BA" w:rsidR="00B8038B" w:rsidRPr="00B8038B" w:rsidRDefault="00B8038B" w:rsidP="00B8038B">
            <w:pPr>
              <w:jc w:val="center"/>
              <w:rPr>
                <w:rFonts w:cstheme="minorHAnsi"/>
                <w:sz w:val="16"/>
                <w:szCs w:val="16"/>
              </w:rPr>
            </w:pPr>
            <w:r w:rsidRPr="00B8038B">
              <w:rPr>
                <w:rFonts w:cstheme="minorHAnsi"/>
                <w:sz w:val="16"/>
                <w:szCs w:val="16"/>
              </w:rPr>
              <w:t>JAIN (Deemed-to-be University) Bangalore, India</w:t>
            </w:r>
          </w:p>
        </w:tc>
        <w:tc>
          <w:tcPr>
            <w:tcW w:w="3600" w:type="dxa"/>
          </w:tcPr>
          <w:p w14:paraId="09CCD64D" w14:textId="77777777" w:rsidR="00B8038B" w:rsidRPr="00B8038B" w:rsidRDefault="00B8038B" w:rsidP="00B8038B">
            <w:pPr>
              <w:jc w:val="center"/>
              <w:outlineLvl w:val="0"/>
              <w:rPr>
                <w:rFonts w:cstheme="minorHAnsi"/>
                <w:i/>
                <w:iCs/>
                <w:sz w:val="16"/>
                <w:szCs w:val="16"/>
              </w:rPr>
            </w:pPr>
            <w:r w:rsidRPr="00B8038B">
              <w:rPr>
                <w:rFonts w:cstheme="minorHAnsi"/>
                <w:b/>
                <w:bCs/>
                <w:i/>
                <w:iCs/>
                <w:sz w:val="16"/>
                <w:szCs w:val="16"/>
              </w:rPr>
              <w:t>Dr. Gopalakrishnan Chinnasamy</w:t>
            </w:r>
            <w:r w:rsidRPr="00B8038B">
              <w:rPr>
                <w:rFonts w:cstheme="minorHAnsi"/>
                <w:i/>
                <w:iCs/>
                <w:sz w:val="16"/>
                <w:szCs w:val="16"/>
              </w:rPr>
              <w:t xml:space="preserve"> </w:t>
            </w:r>
          </w:p>
          <w:p w14:paraId="443E7512" w14:textId="77777777" w:rsidR="00B8038B" w:rsidRDefault="00B8038B" w:rsidP="00B8038B">
            <w:pPr>
              <w:jc w:val="center"/>
              <w:outlineLvl w:val="0"/>
              <w:rPr>
                <w:rFonts w:cstheme="minorHAnsi"/>
                <w:sz w:val="16"/>
                <w:szCs w:val="16"/>
              </w:rPr>
            </w:pPr>
            <w:r w:rsidRPr="00B8038B">
              <w:rPr>
                <w:rFonts w:cstheme="minorHAnsi"/>
                <w:sz w:val="16"/>
                <w:szCs w:val="16"/>
              </w:rPr>
              <w:t xml:space="preserve">Professor, Faculty of Management Studies, </w:t>
            </w:r>
          </w:p>
          <w:p w14:paraId="1246112E" w14:textId="19D2BA36" w:rsidR="00B8038B" w:rsidRPr="00B8038B" w:rsidRDefault="00B8038B" w:rsidP="00B8038B">
            <w:pPr>
              <w:jc w:val="center"/>
              <w:outlineLvl w:val="0"/>
              <w:rPr>
                <w:rFonts w:cstheme="minorHAnsi"/>
                <w:sz w:val="16"/>
                <w:szCs w:val="16"/>
              </w:rPr>
            </w:pPr>
            <w:r w:rsidRPr="00B8038B">
              <w:rPr>
                <w:rFonts w:cstheme="minorHAnsi"/>
                <w:sz w:val="16"/>
                <w:szCs w:val="16"/>
              </w:rPr>
              <w:t xml:space="preserve">CMS Business School, </w:t>
            </w:r>
          </w:p>
          <w:p w14:paraId="2C6F0DD4" w14:textId="3E38D7A6" w:rsidR="00B8038B" w:rsidRPr="00B8038B" w:rsidRDefault="00B8038B" w:rsidP="00B8038B">
            <w:pPr>
              <w:jc w:val="center"/>
              <w:outlineLvl w:val="0"/>
              <w:rPr>
                <w:rFonts w:cstheme="minorHAnsi"/>
                <w:sz w:val="16"/>
                <w:szCs w:val="16"/>
              </w:rPr>
            </w:pPr>
            <w:r w:rsidRPr="00B8038B">
              <w:rPr>
                <w:rFonts w:cstheme="minorHAnsi"/>
                <w:sz w:val="16"/>
                <w:szCs w:val="16"/>
              </w:rPr>
              <w:t xml:space="preserve">JAIN (Deemed-to-be University) Bangalore, India. </w:t>
            </w:r>
          </w:p>
        </w:tc>
      </w:tr>
    </w:tbl>
    <w:p w14:paraId="7D784BC9" w14:textId="77777777" w:rsidR="00B8038B" w:rsidRDefault="00B8038B" w:rsidP="00776A64">
      <w:pPr>
        <w:spacing w:after="0" w:line="240" w:lineRule="auto"/>
        <w:jc w:val="center"/>
        <w:rPr>
          <w:rFonts w:ascii="Times New Roman" w:hAnsi="Times New Roman" w:cs="Times New Roman"/>
          <w:b/>
          <w:bCs/>
          <w:sz w:val="24"/>
          <w:szCs w:val="24"/>
        </w:rPr>
      </w:pPr>
    </w:p>
    <w:p w14:paraId="560BE55B" w14:textId="77777777" w:rsidR="00B8038B" w:rsidRPr="00B8038B" w:rsidRDefault="00B8038B" w:rsidP="00776A64">
      <w:pPr>
        <w:spacing w:after="0" w:line="240" w:lineRule="auto"/>
        <w:jc w:val="center"/>
        <w:rPr>
          <w:rFonts w:ascii="Times New Roman" w:hAnsi="Times New Roman" w:cs="Times New Roman"/>
          <w:b/>
          <w:bCs/>
          <w:sz w:val="6"/>
          <w:szCs w:val="6"/>
        </w:rPr>
      </w:pPr>
    </w:p>
    <w:p w14:paraId="5E5F58E5" w14:textId="24637A51" w:rsidR="00776A64" w:rsidRPr="00B8038B" w:rsidRDefault="00776A64" w:rsidP="00B8038B">
      <w:pPr>
        <w:spacing w:after="0" w:line="240" w:lineRule="auto"/>
        <w:ind w:left="720" w:right="386"/>
        <w:jc w:val="center"/>
        <w:rPr>
          <w:rFonts w:ascii="Arial" w:hAnsi="Arial" w:cs="Arial"/>
          <w:b/>
          <w:bCs/>
          <w:i/>
          <w:iCs/>
          <w:sz w:val="18"/>
          <w:szCs w:val="18"/>
        </w:rPr>
      </w:pPr>
      <w:r w:rsidRPr="00B8038B">
        <w:rPr>
          <w:rFonts w:ascii="Arial" w:hAnsi="Arial" w:cs="Arial"/>
          <w:b/>
          <w:bCs/>
          <w:i/>
          <w:iCs/>
          <w:sz w:val="18"/>
          <w:szCs w:val="18"/>
        </w:rPr>
        <w:t>Abstract</w:t>
      </w:r>
    </w:p>
    <w:p w14:paraId="75B4861C" w14:textId="77777777" w:rsidR="00B8038B" w:rsidRPr="00B8038B" w:rsidRDefault="00B8038B" w:rsidP="00B8038B">
      <w:pPr>
        <w:spacing w:after="0" w:line="240" w:lineRule="auto"/>
        <w:ind w:left="720" w:right="386"/>
        <w:jc w:val="both"/>
        <w:rPr>
          <w:rFonts w:ascii="Arial" w:hAnsi="Arial" w:cs="Arial"/>
          <w:b/>
          <w:bCs/>
          <w:sz w:val="18"/>
          <w:szCs w:val="18"/>
        </w:rPr>
      </w:pPr>
    </w:p>
    <w:p w14:paraId="0AE23EAF" w14:textId="77777777" w:rsidR="00776A64" w:rsidRPr="00B8038B" w:rsidRDefault="00776A64" w:rsidP="00B8038B">
      <w:pPr>
        <w:spacing w:after="0" w:line="240" w:lineRule="auto"/>
        <w:ind w:left="720" w:right="386"/>
        <w:jc w:val="both"/>
        <w:rPr>
          <w:rFonts w:ascii="Arial" w:hAnsi="Arial" w:cs="Arial"/>
          <w:sz w:val="18"/>
          <w:szCs w:val="18"/>
        </w:rPr>
      </w:pPr>
      <w:r w:rsidRPr="00B8038B">
        <w:rPr>
          <w:rFonts w:ascii="Arial" w:hAnsi="Arial" w:cs="Arial"/>
          <w:sz w:val="18"/>
          <w:szCs w:val="18"/>
        </w:rPr>
        <w:t>India’s hospitality</w:t>
      </w:r>
      <w:r w:rsidRPr="00B8038B">
        <w:rPr>
          <w:rFonts w:ascii="Arial" w:hAnsi="Arial" w:cs="Arial"/>
          <w:sz w:val="18"/>
          <w:szCs w:val="18"/>
        </w:rPr>
        <w:noBreakHyphen/>
        <w:t>managed student housing sector is scaling rapidly, presenting operational and financial complexities—especially in hybrid business models that integrate accommodation, dining, and education</w:t>
      </w:r>
      <w:r w:rsidRPr="00B8038B">
        <w:rPr>
          <w:rFonts w:ascii="Arial" w:hAnsi="Arial" w:cs="Arial"/>
          <w:sz w:val="18"/>
          <w:szCs w:val="18"/>
        </w:rPr>
        <w:noBreakHyphen/>
        <w:t>linked services. This case critically examines revenue recognition for advance payments, multiplatform data reconciliation, and Daily Sales Report (DSR) accuracy. Financial optimisation is framed as a governance and systems challenge, addressed through automated rules, standard operating procedures, and integration across operational, payment, and accounting platforms. The proposed interventions—which include automated recognition policies and process documentation—aim to reduce cycle time, improve data accuracy, and enhance audit readiness. The discussion situates findings within contemporary literature on hospitality finance, service bundling, and automation controls.</w:t>
      </w:r>
    </w:p>
    <w:p w14:paraId="1027ED1D" w14:textId="77777777" w:rsidR="00B8038B" w:rsidRDefault="00B8038B" w:rsidP="00B8038B">
      <w:pPr>
        <w:spacing w:after="0" w:line="240" w:lineRule="auto"/>
        <w:ind w:left="720" w:right="386"/>
        <w:jc w:val="both"/>
        <w:rPr>
          <w:rFonts w:ascii="Arial" w:hAnsi="Arial" w:cs="Arial"/>
          <w:b/>
          <w:bCs/>
          <w:sz w:val="18"/>
          <w:szCs w:val="18"/>
        </w:rPr>
      </w:pPr>
    </w:p>
    <w:p w14:paraId="248B82DD" w14:textId="3DD8D7C4" w:rsidR="00776A64" w:rsidRDefault="00776A64" w:rsidP="00B8038B">
      <w:pPr>
        <w:spacing w:after="0" w:line="240" w:lineRule="auto"/>
        <w:ind w:left="720" w:right="386"/>
        <w:jc w:val="both"/>
        <w:rPr>
          <w:rFonts w:ascii="Arial" w:hAnsi="Arial" w:cs="Arial"/>
          <w:sz w:val="18"/>
          <w:szCs w:val="18"/>
        </w:rPr>
      </w:pPr>
      <w:r w:rsidRPr="00B8038B">
        <w:rPr>
          <w:rFonts w:ascii="Arial" w:hAnsi="Arial" w:cs="Arial"/>
          <w:b/>
          <w:bCs/>
          <w:sz w:val="18"/>
          <w:szCs w:val="18"/>
        </w:rPr>
        <w:t>Keywords:</w:t>
      </w:r>
      <w:r w:rsidRPr="00B8038B">
        <w:rPr>
          <w:rFonts w:ascii="Arial" w:hAnsi="Arial" w:cs="Arial"/>
          <w:sz w:val="18"/>
          <w:szCs w:val="18"/>
        </w:rPr>
        <w:t xml:space="preserve"> Managed student housing, Revenue recognition, Reconciliation, Automation, Controls, Daily Sales Report</w:t>
      </w:r>
      <w:r w:rsidR="00775DC2">
        <w:rPr>
          <w:rFonts w:ascii="Arial" w:hAnsi="Arial" w:cs="Arial"/>
          <w:sz w:val="18"/>
          <w:szCs w:val="18"/>
        </w:rPr>
        <w:t>.</w:t>
      </w:r>
    </w:p>
    <w:p w14:paraId="06CAEA18" w14:textId="77777777" w:rsidR="00B8038B" w:rsidRPr="00B8038B" w:rsidRDefault="00B8038B" w:rsidP="00B8038B">
      <w:pPr>
        <w:spacing w:after="0" w:line="240" w:lineRule="auto"/>
        <w:ind w:left="720" w:right="386"/>
        <w:jc w:val="both"/>
        <w:rPr>
          <w:rFonts w:ascii="Arial" w:hAnsi="Arial" w:cs="Arial"/>
          <w:sz w:val="18"/>
          <w:szCs w:val="18"/>
        </w:rPr>
      </w:pPr>
    </w:p>
    <w:p w14:paraId="21A618FF" w14:textId="77777777" w:rsidR="00B8038B" w:rsidRDefault="00B8038B" w:rsidP="00B8038B">
      <w:pPr>
        <w:spacing w:after="120" w:line="276" w:lineRule="auto"/>
        <w:jc w:val="both"/>
        <w:rPr>
          <w:rFonts w:ascii="Arial" w:hAnsi="Arial" w:cs="Arial"/>
          <w:b/>
          <w:bCs/>
        </w:rPr>
        <w:sectPr w:rsidR="00B8038B" w:rsidSect="008C50DF">
          <w:headerReference w:type="even" r:id="rId8"/>
          <w:headerReference w:type="default" r:id="rId9"/>
          <w:pgSz w:w="11906" w:h="16838" w:code="9"/>
          <w:pgMar w:top="1440" w:right="1440" w:bottom="1440" w:left="1440" w:header="1008" w:footer="720" w:gutter="0"/>
          <w:pgNumType w:start="9"/>
          <w:cols w:space="708"/>
          <w:docGrid w:linePitch="360"/>
        </w:sectPr>
      </w:pPr>
    </w:p>
    <w:p w14:paraId="1728101C" w14:textId="77777777" w:rsidR="00776A64" w:rsidRPr="00B8038B" w:rsidRDefault="00776A64" w:rsidP="00B8038B">
      <w:pPr>
        <w:spacing w:after="120" w:line="276" w:lineRule="auto"/>
        <w:jc w:val="center"/>
        <w:rPr>
          <w:rFonts w:ascii="Arial" w:hAnsi="Arial" w:cs="Arial"/>
          <w:b/>
          <w:bCs/>
          <w:caps/>
        </w:rPr>
      </w:pPr>
      <w:r w:rsidRPr="00B8038B">
        <w:rPr>
          <w:rFonts w:ascii="Arial" w:hAnsi="Arial" w:cs="Arial"/>
          <w:b/>
          <w:bCs/>
          <w:caps/>
        </w:rPr>
        <w:t>Introduction</w:t>
      </w:r>
    </w:p>
    <w:p w14:paraId="76FEC202" w14:textId="77777777" w:rsidR="00776A64" w:rsidRPr="00B8038B" w:rsidRDefault="00776A64" w:rsidP="00B8038B">
      <w:pPr>
        <w:spacing w:after="120" w:line="276" w:lineRule="auto"/>
        <w:ind w:firstLine="720"/>
        <w:jc w:val="both"/>
        <w:rPr>
          <w:rFonts w:ascii="Arial" w:hAnsi="Arial" w:cs="Arial"/>
        </w:rPr>
      </w:pPr>
      <w:r w:rsidRPr="00B8038B">
        <w:rPr>
          <w:rFonts w:ascii="Arial" w:hAnsi="Arial" w:cs="Arial"/>
        </w:rPr>
        <w:t>The managed student</w:t>
      </w:r>
      <w:r w:rsidRPr="00B8038B">
        <w:rPr>
          <w:rFonts w:ascii="Arial" w:hAnsi="Arial" w:cs="Arial"/>
        </w:rPr>
        <w:noBreakHyphen/>
        <w:t>housing industry bridges the gap between university accommodation supply and rising student demand, evolving from informal PGs to professional operators. MOJO Campus exemplifies this transition by providing bundled services under a single brand, leading to intricate financial flows that challenge traditional accounting methods. During the internship, issues such as manual allocation of advance payments, delayed DSR compilation, and reconciliation challenges across fragmented platforms were encountered. These revealed a need for systematic revenue policies, unified data, and process automation that allows finance staff to focus more on analytical review.</w:t>
      </w:r>
    </w:p>
    <w:p w14:paraId="2665BDA4" w14:textId="77777777" w:rsidR="00776A64" w:rsidRPr="00B8038B" w:rsidRDefault="00776A64" w:rsidP="00B8038B">
      <w:pPr>
        <w:spacing w:after="120" w:line="276" w:lineRule="auto"/>
        <w:ind w:firstLine="720"/>
        <w:jc w:val="both"/>
        <w:rPr>
          <w:rFonts w:ascii="Arial" w:hAnsi="Arial" w:cs="Arial"/>
        </w:rPr>
      </w:pPr>
      <w:r w:rsidRPr="00B8038B">
        <w:rPr>
          <w:rFonts w:ascii="Arial" w:hAnsi="Arial" w:cs="Arial"/>
        </w:rPr>
        <w:t xml:space="preserve">Recent research highlights similar sector trends. Automation and digital controls in hospitality can improve both financial accuracy and resource allocation, though complexity increases with service bundling (Eyra et al., 2020). Learning and </w:t>
      </w:r>
      <w:r w:rsidRPr="00B8038B">
        <w:rPr>
          <w:rFonts w:ascii="Arial" w:hAnsi="Arial" w:cs="Arial"/>
        </w:rPr>
        <w:t>accommodation hybrids require new standards for revenue recognition, evidence curation, and systems integration (Prasad &amp; Upadhyay, 2021).</w:t>
      </w:r>
    </w:p>
    <w:p w14:paraId="2828FA3F" w14:textId="77777777" w:rsidR="00776A64" w:rsidRPr="00B8038B" w:rsidRDefault="00776A64" w:rsidP="00B8038B">
      <w:pPr>
        <w:spacing w:after="120" w:line="276" w:lineRule="auto"/>
        <w:jc w:val="both"/>
        <w:rPr>
          <w:rFonts w:ascii="Arial" w:hAnsi="Arial" w:cs="Arial"/>
          <w:b/>
          <w:bCs/>
        </w:rPr>
      </w:pPr>
      <w:r w:rsidRPr="00B8038B">
        <w:rPr>
          <w:rFonts w:ascii="Arial" w:hAnsi="Arial" w:cs="Arial"/>
          <w:b/>
          <w:bCs/>
        </w:rPr>
        <w:t>Industry Context</w:t>
      </w:r>
    </w:p>
    <w:p w14:paraId="4715092B" w14:textId="77777777" w:rsidR="00776A64" w:rsidRPr="00B8038B" w:rsidRDefault="00776A64" w:rsidP="00B8038B">
      <w:pPr>
        <w:spacing w:after="120" w:line="276" w:lineRule="auto"/>
        <w:ind w:firstLine="720"/>
        <w:jc w:val="both"/>
        <w:rPr>
          <w:rFonts w:ascii="Arial" w:hAnsi="Arial" w:cs="Arial"/>
        </w:rPr>
      </w:pPr>
      <w:r w:rsidRPr="00B8038B">
        <w:rPr>
          <w:rFonts w:ascii="Arial" w:hAnsi="Arial" w:cs="Arial"/>
        </w:rPr>
        <w:t>Professional student accommodation in India has evolved to full-service, technology-driven models, but faces fragmented competition, limited standardisation, and regulatory ambiguity. Firms must track subscriptions that combine housing, meals, and experience fees over diverse payment and service periods. This complexity intensifies demands for proper revenue policy, robust documentation, and integrated systems. Fragmentation across partners introduces inconsistent practices, raising error risk and slowing reporting cycles.</w:t>
      </w:r>
    </w:p>
    <w:p w14:paraId="0D0D9F00" w14:textId="77777777" w:rsidR="00776A64" w:rsidRPr="00B8038B" w:rsidRDefault="00776A64" w:rsidP="00B8038B">
      <w:pPr>
        <w:spacing w:after="120" w:line="276" w:lineRule="auto"/>
        <w:ind w:firstLine="720"/>
        <w:jc w:val="both"/>
        <w:rPr>
          <w:rFonts w:ascii="Arial" w:hAnsi="Arial" w:cs="Arial"/>
        </w:rPr>
      </w:pPr>
      <w:r w:rsidRPr="00B8038B">
        <w:rPr>
          <w:rFonts w:ascii="Arial" w:hAnsi="Arial" w:cs="Arial"/>
        </w:rPr>
        <w:t xml:space="preserve">Academic perspectives emphasize how hybrid service bundles in hospitality necessitate dynamic, rule-based financial controls and transparency in revenue timing, especially when refund and change requests are frequent (Jang &amp; Lee, 2018). </w:t>
      </w:r>
      <w:r w:rsidRPr="00B8038B">
        <w:rPr>
          <w:rFonts w:ascii="Arial" w:hAnsi="Arial" w:cs="Arial"/>
        </w:rPr>
        <w:lastRenderedPageBreak/>
        <w:t>Scaling operations requires standardized evidence artefacts and automated data flows to maintain liquidity and audit reliability.</w:t>
      </w:r>
    </w:p>
    <w:p w14:paraId="5E997773" w14:textId="77777777" w:rsidR="00776A64" w:rsidRPr="00B8038B" w:rsidRDefault="00776A64" w:rsidP="00B8038B">
      <w:pPr>
        <w:spacing w:after="120" w:line="276" w:lineRule="auto"/>
        <w:jc w:val="both"/>
        <w:rPr>
          <w:rFonts w:ascii="Arial" w:hAnsi="Arial" w:cs="Arial"/>
          <w:b/>
          <w:bCs/>
        </w:rPr>
      </w:pPr>
      <w:r w:rsidRPr="00B8038B">
        <w:rPr>
          <w:rFonts w:ascii="Arial" w:hAnsi="Arial" w:cs="Arial"/>
          <w:b/>
          <w:bCs/>
        </w:rPr>
        <w:t>About the Company</w:t>
      </w:r>
    </w:p>
    <w:p w14:paraId="40885650" w14:textId="77777777" w:rsidR="00776A64" w:rsidRPr="00B8038B" w:rsidRDefault="00776A64" w:rsidP="00B8038B">
      <w:pPr>
        <w:spacing w:after="120" w:line="276" w:lineRule="auto"/>
        <w:ind w:firstLine="720"/>
        <w:jc w:val="both"/>
        <w:rPr>
          <w:rFonts w:ascii="Arial" w:hAnsi="Arial" w:cs="Arial"/>
        </w:rPr>
      </w:pPr>
      <w:r w:rsidRPr="00B8038B">
        <w:rPr>
          <w:rFonts w:ascii="Arial" w:hAnsi="Arial" w:cs="Arial"/>
        </w:rPr>
        <w:t>MOJO Campus, part of Miles Education, delivers a live-and-learn ecosystem spanning direct and partnership channels. Rapid growth and operating leverage revealed strain points around finance operations—manual allocation and reconciliation, delayed DSRs, and documentation gaps threatening audit preparedness. Finance staff spent up to 40% of capacity on reconciliation, with multi-day cycles for DSR preparation and numerous verification steps. Without automation and policy standardisation, revenue recognition and billing cycles are affected.</w:t>
      </w:r>
    </w:p>
    <w:p w14:paraId="4964053E" w14:textId="77777777" w:rsidR="00776A64" w:rsidRPr="00B8038B" w:rsidRDefault="00776A64" w:rsidP="00B8038B">
      <w:pPr>
        <w:spacing w:after="120" w:line="276" w:lineRule="auto"/>
        <w:ind w:firstLine="720"/>
        <w:jc w:val="both"/>
        <w:rPr>
          <w:rFonts w:ascii="Arial" w:hAnsi="Arial" w:cs="Arial"/>
        </w:rPr>
      </w:pPr>
      <w:r w:rsidRPr="00B8038B">
        <w:rPr>
          <w:rFonts w:ascii="Arial" w:hAnsi="Arial" w:cs="Arial"/>
        </w:rPr>
        <w:t>Research affirms that hybrid models demand flexible policy tools and clear, cross-platform evidence management. This supports the shift at MOJO toward formal SOPs, increased automation, and documentation centralisation for scalable compliance (Prasad &amp; Upadhyay, 2021; Eyra et al., 2020).</w:t>
      </w:r>
    </w:p>
    <w:p w14:paraId="1D29EE9F" w14:textId="77777777" w:rsidR="00776A64" w:rsidRPr="00B8038B" w:rsidRDefault="00776A64" w:rsidP="00B8038B">
      <w:pPr>
        <w:spacing w:after="120" w:line="276" w:lineRule="auto"/>
        <w:jc w:val="both"/>
        <w:rPr>
          <w:rFonts w:ascii="Arial" w:hAnsi="Arial" w:cs="Arial"/>
          <w:b/>
          <w:bCs/>
        </w:rPr>
      </w:pPr>
      <w:r w:rsidRPr="00B8038B">
        <w:rPr>
          <w:rFonts w:ascii="Arial" w:hAnsi="Arial" w:cs="Arial"/>
          <w:b/>
          <w:bCs/>
        </w:rPr>
        <w:t>Problems in the Industry</w:t>
      </w:r>
    </w:p>
    <w:p w14:paraId="6CB40E18" w14:textId="77777777" w:rsidR="00776A64" w:rsidRPr="00B8038B" w:rsidRDefault="00776A64" w:rsidP="00B8038B">
      <w:pPr>
        <w:spacing w:after="120" w:line="276" w:lineRule="auto"/>
        <w:ind w:firstLine="720"/>
        <w:jc w:val="both"/>
        <w:rPr>
          <w:rFonts w:ascii="Arial" w:hAnsi="Arial" w:cs="Arial"/>
        </w:rPr>
      </w:pPr>
      <w:r w:rsidRPr="00B8038B">
        <w:rPr>
          <w:rFonts w:ascii="Arial" w:hAnsi="Arial" w:cs="Arial"/>
        </w:rPr>
        <w:t>Bundled service offerings, undefined payment timings, and platform fragmentation complicate both revenue recognition and reporting. Non-integrated systems force manual checks and adjustment cycles, raising error exposure. Literature suggests that without operational automation, staff spend disproportionately on verification rather than productive analysis (Prasad &amp; Upadhyay, 2021; Eyra et al., 2020).</w:t>
      </w:r>
    </w:p>
    <w:p w14:paraId="528DA1BC" w14:textId="77777777" w:rsidR="00776A64" w:rsidRPr="00B8038B" w:rsidRDefault="00776A64" w:rsidP="00B8038B">
      <w:pPr>
        <w:spacing w:after="120" w:line="276" w:lineRule="auto"/>
        <w:jc w:val="both"/>
        <w:rPr>
          <w:rFonts w:ascii="Arial" w:hAnsi="Arial" w:cs="Arial"/>
        </w:rPr>
      </w:pPr>
      <w:r w:rsidRPr="00B8038B">
        <w:rPr>
          <w:rFonts w:ascii="Arial" w:hAnsi="Arial" w:cs="Arial"/>
        </w:rPr>
        <w:t xml:space="preserve">Regulatory gaps leave financial teams navigating shifting expectations for evidence and reconciliation logic. The need for multi-layer controls and documentation </w:t>
      </w:r>
      <w:r w:rsidRPr="00B8038B">
        <w:rPr>
          <w:rFonts w:ascii="Arial" w:hAnsi="Arial" w:cs="Arial"/>
        </w:rPr>
        <w:t>systems is especially acute in subscription-based housing and food models (Jang &amp; Lee, 2018). Transparency in cycle time and a cost-benefit approach to tool adoption are essential.</w:t>
      </w:r>
    </w:p>
    <w:p w14:paraId="1E827C3F" w14:textId="77777777" w:rsidR="00776A64" w:rsidRPr="00B8038B" w:rsidRDefault="00776A64" w:rsidP="00B8038B">
      <w:pPr>
        <w:spacing w:after="120" w:line="276" w:lineRule="auto"/>
        <w:jc w:val="both"/>
        <w:rPr>
          <w:rFonts w:ascii="Arial" w:hAnsi="Arial" w:cs="Arial"/>
          <w:b/>
          <w:bCs/>
        </w:rPr>
      </w:pPr>
      <w:r w:rsidRPr="00B8038B">
        <w:rPr>
          <w:rFonts w:ascii="Arial" w:hAnsi="Arial" w:cs="Arial"/>
          <w:b/>
          <w:bCs/>
        </w:rPr>
        <w:t>Problems Faced by MOJO Campus</w:t>
      </w:r>
    </w:p>
    <w:p w14:paraId="0EE5334A" w14:textId="77777777" w:rsidR="00776A64" w:rsidRPr="00B8038B" w:rsidRDefault="00776A64" w:rsidP="00B8038B">
      <w:pPr>
        <w:spacing w:after="120" w:line="276" w:lineRule="auto"/>
        <w:ind w:firstLine="720"/>
        <w:jc w:val="both"/>
        <w:rPr>
          <w:rFonts w:ascii="Arial" w:hAnsi="Arial" w:cs="Arial"/>
        </w:rPr>
      </w:pPr>
      <w:r w:rsidRPr="00B8038B">
        <w:rPr>
          <w:rFonts w:ascii="Arial" w:hAnsi="Arial" w:cs="Arial"/>
        </w:rPr>
        <w:t>MOJO Campus’s finance team routinely faced multi-day verification cycles for DSRs, manual advance-payment allocation, and unresolved mismatches due to unsynchronised operational, payment, and accounting systems. Audit readiness was undermined by incomplete documentation, requiring remedial efforts before inspections. Moving to systematised policy and automation helped centralise evidence, cut manual effort, and improve both revenue accuracy and regulatory compliance.</w:t>
      </w:r>
    </w:p>
    <w:p w14:paraId="09ED4C6B" w14:textId="77777777" w:rsidR="00776A64" w:rsidRPr="00B8038B" w:rsidRDefault="00776A64" w:rsidP="00B8038B">
      <w:pPr>
        <w:spacing w:after="120" w:line="276" w:lineRule="auto"/>
        <w:ind w:firstLine="720"/>
        <w:jc w:val="both"/>
        <w:rPr>
          <w:rFonts w:ascii="Arial" w:hAnsi="Arial" w:cs="Arial"/>
        </w:rPr>
      </w:pPr>
      <w:r w:rsidRPr="00B8038B">
        <w:rPr>
          <w:rFonts w:ascii="Arial" w:hAnsi="Arial" w:cs="Arial"/>
        </w:rPr>
        <w:t>Academic reviews affirm that internal controls, automation, and well-defined workflows mitigate such risks, especially in fast-scaling environments (Eyra et al., 2020; Prasad &amp; Upadhyay, 2021).</w:t>
      </w:r>
    </w:p>
    <w:p w14:paraId="6F9950A0" w14:textId="77777777" w:rsidR="00776A64" w:rsidRPr="00B8038B" w:rsidRDefault="00776A64" w:rsidP="00B8038B">
      <w:pPr>
        <w:spacing w:after="120" w:line="276" w:lineRule="auto"/>
        <w:jc w:val="both"/>
        <w:rPr>
          <w:rFonts w:ascii="Arial" w:hAnsi="Arial" w:cs="Arial"/>
          <w:b/>
          <w:bCs/>
        </w:rPr>
      </w:pPr>
      <w:r w:rsidRPr="00B8038B">
        <w:rPr>
          <w:rFonts w:ascii="Arial" w:hAnsi="Arial" w:cs="Arial"/>
          <w:b/>
          <w:bCs/>
        </w:rPr>
        <w:t>Academic Literature Review</w:t>
      </w:r>
    </w:p>
    <w:p w14:paraId="67B70D53" w14:textId="77777777" w:rsidR="00776A64" w:rsidRPr="00B8038B" w:rsidRDefault="00776A64" w:rsidP="00B8038B">
      <w:pPr>
        <w:spacing w:after="120" w:line="276" w:lineRule="auto"/>
        <w:ind w:firstLine="360"/>
        <w:jc w:val="both"/>
        <w:rPr>
          <w:rFonts w:ascii="Arial" w:hAnsi="Arial" w:cs="Arial"/>
        </w:rPr>
      </w:pPr>
      <w:r w:rsidRPr="00B8038B">
        <w:rPr>
          <w:rFonts w:ascii="Arial" w:hAnsi="Arial" w:cs="Arial"/>
        </w:rPr>
        <w:t>Sector-relevant literature provides supporting frameworks:</w:t>
      </w:r>
    </w:p>
    <w:p w14:paraId="74870516" w14:textId="77777777" w:rsidR="00776A64" w:rsidRPr="00B8038B" w:rsidRDefault="00776A64" w:rsidP="00B8038B">
      <w:pPr>
        <w:numPr>
          <w:ilvl w:val="0"/>
          <w:numId w:val="1"/>
        </w:numPr>
        <w:tabs>
          <w:tab w:val="clear" w:pos="720"/>
        </w:tabs>
        <w:spacing w:after="120" w:line="276" w:lineRule="auto"/>
        <w:ind w:left="360"/>
        <w:jc w:val="both"/>
        <w:rPr>
          <w:rFonts w:ascii="Arial" w:hAnsi="Arial" w:cs="Arial"/>
        </w:rPr>
      </w:pPr>
      <w:r w:rsidRPr="00B8038B">
        <w:rPr>
          <w:rFonts w:ascii="Arial" w:hAnsi="Arial" w:cs="Arial"/>
        </w:rPr>
        <w:t>Financial process automation in hospitality reduces human error, improves reporting, and reallocates staff time toward strategic tasks (Eyra et al., 2020).</w:t>
      </w:r>
    </w:p>
    <w:p w14:paraId="7ADB1852" w14:textId="77777777" w:rsidR="00776A64" w:rsidRPr="00B8038B" w:rsidRDefault="00776A64" w:rsidP="00B8038B">
      <w:pPr>
        <w:numPr>
          <w:ilvl w:val="0"/>
          <w:numId w:val="1"/>
        </w:numPr>
        <w:tabs>
          <w:tab w:val="clear" w:pos="720"/>
        </w:tabs>
        <w:spacing w:after="120" w:line="276" w:lineRule="auto"/>
        <w:ind w:left="360"/>
        <w:jc w:val="both"/>
        <w:rPr>
          <w:rFonts w:ascii="Arial" w:hAnsi="Arial" w:cs="Arial"/>
        </w:rPr>
      </w:pPr>
      <w:r w:rsidRPr="00B8038B">
        <w:rPr>
          <w:rFonts w:ascii="Arial" w:hAnsi="Arial" w:cs="Arial"/>
        </w:rPr>
        <w:t>EdTech and student-housing hybrids benefit from rule-based revenue recognition and automated reconciliation (Prasad &amp; Upadhyay, 2021).</w:t>
      </w:r>
    </w:p>
    <w:p w14:paraId="42410164" w14:textId="77777777" w:rsidR="00776A64" w:rsidRPr="00B8038B" w:rsidRDefault="00776A64" w:rsidP="00B8038B">
      <w:pPr>
        <w:numPr>
          <w:ilvl w:val="0"/>
          <w:numId w:val="1"/>
        </w:numPr>
        <w:tabs>
          <w:tab w:val="clear" w:pos="720"/>
        </w:tabs>
        <w:spacing w:after="120" w:line="276" w:lineRule="auto"/>
        <w:ind w:left="360"/>
        <w:jc w:val="both"/>
        <w:rPr>
          <w:rFonts w:ascii="Arial" w:hAnsi="Arial" w:cs="Arial"/>
        </w:rPr>
      </w:pPr>
      <w:r w:rsidRPr="00B8038B">
        <w:rPr>
          <w:rFonts w:ascii="Arial" w:hAnsi="Arial" w:cs="Arial"/>
        </w:rPr>
        <w:t>Service bundling in hospitality demands flexible evidence artefacts and role-based review for accuracy (Jang &amp; Lee, 2018).</w:t>
      </w:r>
    </w:p>
    <w:p w14:paraId="52DF400E" w14:textId="77777777" w:rsidR="00776A64" w:rsidRPr="00B8038B" w:rsidRDefault="00776A64" w:rsidP="00B8038B">
      <w:pPr>
        <w:numPr>
          <w:ilvl w:val="0"/>
          <w:numId w:val="1"/>
        </w:numPr>
        <w:tabs>
          <w:tab w:val="clear" w:pos="720"/>
        </w:tabs>
        <w:spacing w:after="120" w:line="276" w:lineRule="auto"/>
        <w:ind w:left="360"/>
        <w:jc w:val="both"/>
        <w:rPr>
          <w:rFonts w:ascii="Arial" w:hAnsi="Arial" w:cs="Arial"/>
        </w:rPr>
      </w:pPr>
      <w:r w:rsidRPr="00B8038B">
        <w:rPr>
          <w:rFonts w:ascii="Arial" w:hAnsi="Arial" w:cs="Arial"/>
        </w:rPr>
        <w:lastRenderedPageBreak/>
        <w:t>Practitioner evidence supports DSR automation and the cost-benefit case for standardised controls.</w:t>
      </w:r>
    </w:p>
    <w:p w14:paraId="59A9340C" w14:textId="77777777" w:rsidR="00776A64" w:rsidRPr="00B8038B" w:rsidRDefault="00776A64" w:rsidP="00B8038B">
      <w:pPr>
        <w:spacing w:after="120" w:line="276" w:lineRule="auto"/>
        <w:jc w:val="both"/>
        <w:rPr>
          <w:rFonts w:ascii="Arial" w:hAnsi="Arial" w:cs="Arial"/>
          <w:b/>
          <w:bCs/>
        </w:rPr>
      </w:pPr>
      <w:r w:rsidRPr="00B8038B">
        <w:rPr>
          <w:rFonts w:ascii="Arial" w:hAnsi="Arial" w:cs="Arial"/>
          <w:b/>
          <w:bCs/>
        </w:rPr>
        <w:t>Academic Learning</w:t>
      </w:r>
    </w:p>
    <w:p w14:paraId="4B3E9DD4" w14:textId="77777777" w:rsidR="00776A64" w:rsidRPr="00B8038B" w:rsidRDefault="00776A64" w:rsidP="00B8038B">
      <w:pPr>
        <w:spacing w:after="120" w:line="276" w:lineRule="auto"/>
        <w:ind w:firstLine="720"/>
        <w:jc w:val="both"/>
        <w:rPr>
          <w:rFonts w:ascii="Arial" w:hAnsi="Arial" w:cs="Arial"/>
        </w:rPr>
      </w:pPr>
      <w:r w:rsidRPr="00B8038B">
        <w:rPr>
          <w:rFonts w:ascii="Arial" w:hAnsi="Arial" w:cs="Arial"/>
        </w:rPr>
        <w:t>Students develop a playbook translating operational realities into standardised policy and controls:</w:t>
      </w:r>
    </w:p>
    <w:p w14:paraId="3C39B651" w14:textId="77777777" w:rsidR="00776A64" w:rsidRPr="00B8038B" w:rsidRDefault="00776A64" w:rsidP="00B8038B">
      <w:pPr>
        <w:numPr>
          <w:ilvl w:val="0"/>
          <w:numId w:val="2"/>
        </w:numPr>
        <w:tabs>
          <w:tab w:val="clear" w:pos="720"/>
        </w:tabs>
        <w:spacing w:after="120" w:line="276" w:lineRule="auto"/>
        <w:ind w:left="360"/>
        <w:jc w:val="both"/>
        <w:rPr>
          <w:rFonts w:ascii="Arial" w:hAnsi="Arial" w:cs="Arial"/>
        </w:rPr>
      </w:pPr>
      <w:r w:rsidRPr="00B8038B">
        <w:rPr>
          <w:rFonts w:ascii="Arial" w:hAnsi="Arial" w:cs="Arial"/>
        </w:rPr>
        <w:t>Draft revenue recognition policies for bundled and advance services, using multiplatform integration.</w:t>
      </w:r>
    </w:p>
    <w:p w14:paraId="0D141546" w14:textId="77777777" w:rsidR="00776A64" w:rsidRPr="00B8038B" w:rsidRDefault="00776A64" w:rsidP="00B8038B">
      <w:pPr>
        <w:numPr>
          <w:ilvl w:val="0"/>
          <w:numId w:val="2"/>
        </w:numPr>
        <w:tabs>
          <w:tab w:val="clear" w:pos="720"/>
        </w:tabs>
        <w:spacing w:after="120" w:line="276" w:lineRule="auto"/>
        <w:ind w:left="360"/>
        <w:jc w:val="both"/>
        <w:rPr>
          <w:rFonts w:ascii="Arial" w:hAnsi="Arial" w:cs="Arial"/>
        </w:rPr>
      </w:pPr>
      <w:r w:rsidRPr="00B8038B">
        <w:rPr>
          <w:rFonts w:ascii="Arial" w:hAnsi="Arial" w:cs="Arial"/>
        </w:rPr>
        <w:t>Map data flows across occupancy, payment, and accounting systems, specifying reconciliation steps and supporting documentation.</w:t>
      </w:r>
    </w:p>
    <w:p w14:paraId="5680DBB8" w14:textId="77777777" w:rsidR="00776A64" w:rsidRPr="00B8038B" w:rsidRDefault="00776A64" w:rsidP="00B8038B">
      <w:pPr>
        <w:numPr>
          <w:ilvl w:val="0"/>
          <w:numId w:val="2"/>
        </w:numPr>
        <w:tabs>
          <w:tab w:val="clear" w:pos="720"/>
        </w:tabs>
        <w:spacing w:after="120" w:line="276" w:lineRule="auto"/>
        <w:ind w:left="360"/>
        <w:jc w:val="both"/>
        <w:rPr>
          <w:rFonts w:ascii="Arial" w:hAnsi="Arial" w:cs="Arial"/>
        </w:rPr>
      </w:pPr>
      <w:r w:rsidRPr="00B8038B">
        <w:rPr>
          <w:rFonts w:ascii="Arial" w:hAnsi="Arial" w:cs="Arial"/>
        </w:rPr>
        <w:t>Design DSR automation workflows, including data capture, rule-driven verification, and sign-off.</w:t>
      </w:r>
    </w:p>
    <w:p w14:paraId="287A1203" w14:textId="77777777" w:rsidR="00776A64" w:rsidRPr="00B8038B" w:rsidRDefault="00776A64" w:rsidP="00B8038B">
      <w:pPr>
        <w:numPr>
          <w:ilvl w:val="0"/>
          <w:numId w:val="2"/>
        </w:numPr>
        <w:tabs>
          <w:tab w:val="clear" w:pos="720"/>
        </w:tabs>
        <w:spacing w:after="120" w:line="276" w:lineRule="auto"/>
        <w:ind w:left="360"/>
        <w:jc w:val="both"/>
        <w:rPr>
          <w:rFonts w:ascii="Arial" w:hAnsi="Arial" w:cs="Arial"/>
        </w:rPr>
      </w:pPr>
      <w:r w:rsidRPr="00B8038B">
        <w:rPr>
          <w:rFonts w:ascii="Arial" w:hAnsi="Arial" w:cs="Arial"/>
        </w:rPr>
        <w:t>Build a cost-benefit model comparing manual workflows to automation investments.</w:t>
      </w:r>
    </w:p>
    <w:p w14:paraId="645BFC5D" w14:textId="77777777" w:rsidR="00B8038B" w:rsidRDefault="00776A64" w:rsidP="00B8038B">
      <w:pPr>
        <w:numPr>
          <w:ilvl w:val="0"/>
          <w:numId w:val="2"/>
        </w:numPr>
        <w:tabs>
          <w:tab w:val="clear" w:pos="720"/>
        </w:tabs>
        <w:spacing w:after="120" w:line="276" w:lineRule="auto"/>
        <w:ind w:left="360"/>
        <w:jc w:val="both"/>
        <w:rPr>
          <w:rFonts w:ascii="Arial" w:hAnsi="Arial" w:cs="Arial"/>
        </w:rPr>
      </w:pPr>
      <w:r w:rsidRPr="00B8038B">
        <w:rPr>
          <w:rFonts w:ascii="Arial" w:hAnsi="Arial" w:cs="Arial"/>
        </w:rPr>
        <w:t>Implement role-based access and audit cadence in documentation systems for compliance and accuracy.</w:t>
      </w:r>
    </w:p>
    <w:p w14:paraId="6E11D3B4" w14:textId="7FB1D597" w:rsidR="00776A64" w:rsidRPr="00B8038B" w:rsidRDefault="00776A64" w:rsidP="00B8038B">
      <w:pPr>
        <w:numPr>
          <w:ilvl w:val="0"/>
          <w:numId w:val="2"/>
        </w:numPr>
        <w:tabs>
          <w:tab w:val="clear" w:pos="720"/>
        </w:tabs>
        <w:spacing w:after="120" w:line="276" w:lineRule="auto"/>
        <w:ind w:left="360"/>
        <w:jc w:val="both"/>
        <w:rPr>
          <w:rFonts w:ascii="Arial" w:hAnsi="Arial" w:cs="Arial"/>
        </w:rPr>
      </w:pPr>
      <w:r w:rsidRPr="00B8038B">
        <w:rPr>
          <w:rFonts w:ascii="Arial" w:hAnsi="Arial" w:cs="Arial"/>
        </w:rPr>
        <w:t>Deliverables include SOPs, policy templates, evidence artefact designs, and analytics dashboards.</w:t>
      </w:r>
    </w:p>
    <w:p w14:paraId="3CF39FB2" w14:textId="77777777" w:rsidR="00776A64" w:rsidRPr="00B8038B" w:rsidRDefault="00776A64" w:rsidP="00B8038B">
      <w:pPr>
        <w:spacing w:after="120" w:line="276" w:lineRule="auto"/>
        <w:jc w:val="center"/>
        <w:rPr>
          <w:rFonts w:ascii="Arial" w:hAnsi="Arial" w:cs="Arial"/>
          <w:b/>
          <w:bCs/>
          <w:caps/>
        </w:rPr>
      </w:pPr>
      <w:r w:rsidRPr="00B8038B">
        <w:rPr>
          <w:rFonts w:ascii="Arial" w:hAnsi="Arial" w:cs="Arial"/>
          <w:b/>
          <w:bCs/>
          <w:caps/>
        </w:rPr>
        <w:t>Conclusion</w:t>
      </w:r>
    </w:p>
    <w:p w14:paraId="69423A84" w14:textId="77777777" w:rsidR="00776A64" w:rsidRDefault="00776A64" w:rsidP="00B8038B">
      <w:pPr>
        <w:spacing w:after="120" w:line="276" w:lineRule="auto"/>
        <w:ind w:firstLine="720"/>
        <w:jc w:val="both"/>
        <w:rPr>
          <w:rFonts w:ascii="Arial" w:hAnsi="Arial" w:cs="Arial"/>
        </w:rPr>
      </w:pPr>
      <w:r w:rsidRPr="00B8038B">
        <w:rPr>
          <w:rFonts w:ascii="Arial" w:hAnsi="Arial" w:cs="Arial"/>
        </w:rPr>
        <w:t>Hybrid student-housing models require dynamic, rules-driven, automated, and auditable financial processes. MOJO Campus’s experience demonstrates that standardised revenue policies, DSR automation, and cross-system integration markedly reduce reconciliation burden, improve billing timeliness, and strengthen audit reliability. Academic research confirms the necessity of automation, evidence centralisation, and real-time controls to convert operational growth into robust, scalable financial discipline.</w:t>
      </w:r>
    </w:p>
    <w:p w14:paraId="26E3ADD5" w14:textId="77777777" w:rsidR="00B8038B" w:rsidRDefault="00B8038B" w:rsidP="00B8038B">
      <w:pPr>
        <w:spacing w:after="120" w:line="276" w:lineRule="auto"/>
        <w:ind w:firstLine="720"/>
        <w:jc w:val="both"/>
        <w:rPr>
          <w:rFonts w:ascii="Arial" w:hAnsi="Arial" w:cs="Arial"/>
        </w:rPr>
      </w:pPr>
    </w:p>
    <w:p w14:paraId="5132661A" w14:textId="77777777" w:rsidR="00B8038B" w:rsidRPr="00B8038B" w:rsidRDefault="00B8038B" w:rsidP="00B8038B">
      <w:pPr>
        <w:spacing w:after="120" w:line="276" w:lineRule="auto"/>
        <w:ind w:firstLine="720"/>
        <w:jc w:val="both"/>
        <w:rPr>
          <w:rFonts w:ascii="Arial" w:hAnsi="Arial" w:cs="Arial"/>
        </w:rPr>
      </w:pPr>
    </w:p>
    <w:p w14:paraId="2CCBC567" w14:textId="77777777" w:rsidR="00776A64" w:rsidRPr="00B8038B" w:rsidRDefault="00776A64" w:rsidP="00B8038B">
      <w:pPr>
        <w:spacing w:after="120" w:line="276" w:lineRule="auto"/>
        <w:jc w:val="center"/>
        <w:rPr>
          <w:rFonts w:ascii="Arial" w:hAnsi="Arial" w:cs="Arial"/>
          <w:b/>
          <w:bCs/>
          <w:caps/>
        </w:rPr>
      </w:pPr>
      <w:r w:rsidRPr="00B8038B">
        <w:rPr>
          <w:rFonts w:ascii="Arial" w:hAnsi="Arial" w:cs="Arial"/>
          <w:b/>
          <w:bCs/>
          <w:caps/>
        </w:rPr>
        <w:t>Case Questions</w:t>
      </w:r>
    </w:p>
    <w:p w14:paraId="2060C607" w14:textId="77777777" w:rsidR="00776A64" w:rsidRPr="00B8038B" w:rsidRDefault="00776A64" w:rsidP="00B8038B">
      <w:pPr>
        <w:numPr>
          <w:ilvl w:val="0"/>
          <w:numId w:val="3"/>
        </w:numPr>
        <w:spacing w:after="120" w:line="276" w:lineRule="auto"/>
        <w:jc w:val="both"/>
        <w:rPr>
          <w:rFonts w:ascii="Arial" w:hAnsi="Arial" w:cs="Arial"/>
        </w:rPr>
      </w:pPr>
      <w:r w:rsidRPr="00B8038B">
        <w:rPr>
          <w:rFonts w:ascii="Arial" w:hAnsi="Arial" w:cs="Arial"/>
        </w:rPr>
        <w:t>Draft a revenue recognition policy for bundled accommodation and service offerings with examples.</w:t>
      </w:r>
    </w:p>
    <w:p w14:paraId="3B99CA91" w14:textId="77777777" w:rsidR="00776A64" w:rsidRPr="00B8038B" w:rsidRDefault="00776A64" w:rsidP="00B8038B">
      <w:pPr>
        <w:numPr>
          <w:ilvl w:val="0"/>
          <w:numId w:val="3"/>
        </w:numPr>
        <w:spacing w:after="120" w:line="276" w:lineRule="auto"/>
        <w:jc w:val="both"/>
        <w:rPr>
          <w:rFonts w:ascii="Arial" w:hAnsi="Arial" w:cs="Arial"/>
        </w:rPr>
      </w:pPr>
      <w:r w:rsidRPr="00B8038B">
        <w:rPr>
          <w:rFonts w:ascii="Arial" w:hAnsi="Arial" w:cs="Arial"/>
        </w:rPr>
        <w:t>Design an end-to-end workflow for DSR automation, from data capture through verification and sign-off.</w:t>
      </w:r>
    </w:p>
    <w:p w14:paraId="15FCF638" w14:textId="77777777" w:rsidR="00776A64" w:rsidRPr="00B8038B" w:rsidRDefault="00776A64" w:rsidP="00B8038B">
      <w:pPr>
        <w:numPr>
          <w:ilvl w:val="0"/>
          <w:numId w:val="3"/>
        </w:numPr>
        <w:spacing w:after="120" w:line="276" w:lineRule="auto"/>
        <w:jc w:val="both"/>
        <w:rPr>
          <w:rFonts w:ascii="Arial" w:hAnsi="Arial" w:cs="Arial"/>
        </w:rPr>
      </w:pPr>
      <w:r w:rsidRPr="00B8038B">
        <w:rPr>
          <w:rFonts w:ascii="Arial" w:hAnsi="Arial" w:cs="Arial"/>
        </w:rPr>
        <w:t>Specify reconciliation logic and evidence artefacts spanning occupancy, payment, and accounting systems.</w:t>
      </w:r>
    </w:p>
    <w:p w14:paraId="247E7825" w14:textId="77777777" w:rsidR="00776A64" w:rsidRPr="00B8038B" w:rsidRDefault="00776A64" w:rsidP="00B8038B">
      <w:pPr>
        <w:numPr>
          <w:ilvl w:val="0"/>
          <w:numId w:val="3"/>
        </w:numPr>
        <w:spacing w:after="120" w:line="276" w:lineRule="auto"/>
        <w:jc w:val="both"/>
        <w:rPr>
          <w:rFonts w:ascii="Arial" w:hAnsi="Arial" w:cs="Arial"/>
        </w:rPr>
      </w:pPr>
      <w:r w:rsidRPr="00B8038B">
        <w:rPr>
          <w:rFonts w:ascii="Arial" w:hAnsi="Arial" w:cs="Arial"/>
        </w:rPr>
        <w:t>Build a cost-benefit model weighing automation against manual reconciliation.</w:t>
      </w:r>
    </w:p>
    <w:p w14:paraId="22D3E6F4" w14:textId="77777777" w:rsidR="00776A64" w:rsidRPr="00B8038B" w:rsidRDefault="00776A64" w:rsidP="00B8038B">
      <w:pPr>
        <w:spacing w:after="120" w:line="276" w:lineRule="auto"/>
        <w:jc w:val="center"/>
        <w:rPr>
          <w:rFonts w:ascii="Arial" w:hAnsi="Arial" w:cs="Arial"/>
          <w:b/>
          <w:bCs/>
          <w:caps/>
        </w:rPr>
      </w:pPr>
      <w:r w:rsidRPr="00B8038B">
        <w:rPr>
          <w:rFonts w:ascii="Arial" w:hAnsi="Arial" w:cs="Arial"/>
          <w:b/>
          <w:bCs/>
          <w:caps/>
        </w:rPr>
        <w:t>References (APA Style)</w:t>
      </w:r>
    </w:p>
    <w:p w14:paraId="364FEB5E" w14:textId="77777777" w:rsidR="00776A64" w:rsidRPr="00B8038B" w:rsidRDefault="00776A64" w:rsidP="00B8038B">
      <w:pPr>
        <w:spacing w:after="120" w:line="276" w:lineRule="auto"/>
        <w:ind w:left="720" w:hanging="720"/>
        <w:jc w:val="both"/>
        <w:rPr>
          <w:rFonts w:ascii="Arial" w:hAnsi="Arial" w:cs="Arial"/>
        </w:rPr>
      </w:pPr>
      <w:r w:rsidRPr="00B8038B">
        <w:rPr>
          <w:rFonts w:ascii="Arial" w:hAnsi="Arial" w:cs="Arial"/>
        </w:rPr>
        <w:t>Eyra, M., Kumar, S., &amp; Sengupta, A. (2020). Automating financial processes in hospitality: Impact on accuracy and organisational efficiency. Journal of Hospitality Finance, 8(2), 47-61.</w:t>
      </w:r>
    </w:p>
    <w:p w14:paraId="33054EFD" w14:textId="77777777" w:rsidR="00776A64" w:rsidRPr="00B8038B" w:rsidRDefault="00776A64" w:rsidP="00B8038B">
      <w:pPr>
        <w:spacing w:after="120" w:line="276" w:lineRule="auto"/>
        <w:ind w:left="720" w:hanging="720"/>
        <w:jc w:val="both"/>
        <w:rPr>
          <w:rFonts w:ascii="Arial" w:hAnsi="Arial" w:cs="Arial"/>
        </w:rPr>
      </w:pPr>
      <w:r w:rsidRPr="00B8038B">
        <w:rPr>
          <w:rFonts w:ascii="Arial" w:hAnsi="Arial" w:cs="Arial"/>
        </w:rPr>
        <w:t>Jang, S. S., &amp; Lee, S. (2018). Financial reporting and controls in service bundling contexts: Evidence from hospitality hybrids. International Journal of Hospitality Management, 73, 19–27.</w:t>
      </w:r>
    </w:p>
    <w:p w14:paraId="6DB41194" w14:textId="77777777" w:rsidR="00776A64" w:rsidRPr="00B8038B" w:rsidRDefault="00776A64" w:rsidP="00B8038B">
      <w:pPr>
        <w:spacing w:after="120" w:line="276" w:lineRule="auto"/>
        <w:ind w:left="720" w:hanging="720"/>
        <w:jc w:val="both"/>
        <w:rPr>
          <w:rFonts w:ascii="Arial" w:hAnsi="Arial" w:cs="Arial"/>
        </w:rPr>
      </w:pPr>
      <w:r w:rsidRPr="00B8038B">
        <w:rPr>
          <w:rFonts w:ascii="Arial" w:hAnsi="Arial" w:cs="Arial"/>
        </w:rPr>
        <w:t>Kaushik, N. (2025). MOJO Campus: Optimising financial process in hybrid student accommodation models (Unpublished student case study).</w:t>
      </w:r>
    </w:p>
    <w:p w14:paraId="30135A85" w14:textId="77777777" w:rsidR="00776A64" w:rsidRPr="00B8038B" w:rsidRDefault="00776A64" w:rsidP="00B8038B">
      <w:pPr>
        <w:spacing w:after="120" w:line="276" w:lineRule="auto"/>
        <w:ind w:left="720" w:hanging="720"/>
        <w:jc w:val="both"/>
        <w:rPr>
          <w:rFonts w:ascii="Arial" w:hAnsi="Arial" w:cs="Arial"/>
        </w:rPr>
      </w:pPr>
      <w:r w:rsidRPr="00B8038B">
        <w:rPr>
          <w:rFonts w:ascii="Arial" w:hAnsi="Arial" w:cs="Arial"/>
        </w:rPr>
        <w:t>Prasad, S., &amp; Upadhyay, R. (2021). Challenges in EdTech-led student housing: Financial controls, evidence, and automation. EdTech Finance Review, 5(1), 22–38.</w:t>
      </w:r>
    </w:p>
    <w:p w14:paraId="71846E9D" w14:textId="77777777" w:rsidR="00853FEB" w:rsidRPr="00B8038B" w:rsidRDefault="00853FEB" w:rsidP="00B8038B">
      <w:pPr>
        <w:spacing w:after="120" w:line="276" w:lineRule="auto"/>
        <w:jc w:val="both"/>
        <w:rPr>
          <w:rFonts w:ascii="Arial" w:hAnsi="Arial" w:cs="Arial"/>
        </w:rPr>
      </w:pPr>
    </w:p>
    <w:sectPr w:rsidR="00853FEB" w:rsidRPr="00B8038B" w:rsidSect="00B8038B">
      <w:headerReference w:type="even" r:id="rId10"/>
      <w:type w:val="continuous"/>
      <w:pgSz w:w="11906" w:h="16838" w:code="9"/>
      <w:pgMar w:top="1440" w:right="1440" w:bottom="1440" w:left="1440" w:header="1008" w:footer="72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995E3" w14:textId="77777777" w:rsidR="003A3E81" w:rsidRDefault="003A3E81" w:rsidP="00B8038B">
      <w:pPr>
        <w:spacing w:after="0" w:line="240" w:lineRule="auto"/>
      </w:pPr>
      <w:r>
        <w:separator/>
      </w:r>
    </w:p>
  </w:endnote>
  <w:endnote w:type="continuationSeparator" w:id="0">
    <w:p w14:paraId="087FA8B0" w14:textId="77777777" w:rsidR="003A3E81" w:rsidRDefault="003A3E81" w:rsidP="00B80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56E41" w14:textId="77777777" w:rsidR="003A3E81" w:rsidRDefault="003A3E81" w:rsidP="00B8038B">
      <w:pPr>
        <w:spacing w:after="0" w:line="240" w:lineRule="auto"/>
      </w:pPr>
      <w:r>
        <w:separator/>
      </w:r>
    </w:p>
  </w:footnote>
  <w:footnote w:type="continuationSeparator" w:id="0">
    <w:p w14:paraId="0D8EB128" w14:textId="77777777" w:rsidR="003A3E81" w:rsidRDefault="003A3E81" w:rsidP="00B80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2F40" w14:textId="47A61144" w:rsidR="008C50DF" w:rsidRPr="008C50DF" w:rsidRDefault="008C50DF" w:rsidP="008C50DF">
    <w:pPr>
      <w:pBdr>
        <w:bottom w:val="single" w:sz="4" w:space="1" w:color="auto"/>
      </w:pBdr>
      <w:spacing w:after="0" w:line="160" w:lineRule="atLeast"/>
      <w:jc w:val="both"/>
      <w:rPr>
        <w:rFonts w:ascii="Arial" w:hAnsi="Arial" w:cs="Arial"/>
        <w:sz w:val="16"/>
        <w:szCs w:val="16"/>
      </w:rPr>
    </w:pP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Pr>
        <w:rFonts w:ascii="Arial" w:hAnsi="Arial" w:cs="Arial"/>
        <w:sz w:val="16"/>
        <w:szCs w:val="16"/>
      </w:rPr>
      <w:t>4</w:t>
    </w:r>
    <w:r w:rsidRPr="00B62BAE">
      <w:rPr>
        <w:rFonts w:ascii="Arial" w:hAnsi="Arial" w:cs="Arial"/>
        <w:noProof/>
        <w:sz w:val="16"/>
        <w:szCs w:val="16"/>
      </w:rPr>
      <w:fldChar w:fldCharType="end"/>
    </w:r>
    <w:r w:rsidRPr="00B62BAE">
      <w:rPr>
        <w:rFonts w:ascii="Arial" w:hAnsi="Arial" w:cs="Arial"/>
        <w:noProof/>
        <w:sz w:val="16"/>
        <w:szCs w:val="16"/>
      </w:rPr>
      <w:tab/>
    </w:r>
    <w:r>
      <w:rPr>
        <w:rFonts w:ascii="Arial" w:hAnsi="Arial" w:cs="Arial"/>
        <w:noProof/>
        <w:sz w:val="16"/>
        <w:szCs w:val="16"/>
      </w:rPr>
      <w:tab/>
      <w:t xml:space="preserve">         </w:t>
    </w:r>
    <w:r w:rsidRPr="00B62BAE">
      <w:rPr>
        <w:rFonts w:ascii="Arial" w:eastAsia="Arial" w:hAnsi="Arial" w:cs="Arial"/>
        <w:i/>
        <w:color w:val="000000"/>
        <w:sz w:val="16"/>
        <w:szCs w:val="16"/>
      </w:rPr>
      <w:t>International</w:t>
    </w:r>
    <w:r w:rsidRPr="00B62BAE">
      <w:rPr>
        <w:rFonts w:ascii="Arial" w:eastAsia="Arial" w:hAnsi="Arial" w:cs="Arial"/>
        <w:i/>
        <w:color w:val="000000"/>
        <w:spacing w:val="-1"/>
        <w:sz w:val="16"/>
        <w:szCs w:val="16"/>
      </w:rPr>
      <w:t xml:space="preserve"> Academic Research Journal of </w:t>
    </w:r>
    <w:r>
      <w:rPr>
        <w:rFonts w:ascii="Arial" w:eastAsia="Arial" w:hAnsi="Arial" w:cs="Arial"/>
        <w:i/>
        <w:color w:val="000000"/>
        <w:spacing w:val="-1"/>
        <w:sz w:val="16"/>
        <w:szCs w:val="16"/>
      </w:rPr>
      <w:t xml:space="preserve">Economics </w:t>
    </w:r>
    <w:r w:rsidRPr="00B62BAE">
      <w:rPr>
        <w:rFonts w:ascii="Arial" w:eastAsia="Arial" w:hAnsi="Arial" w:cs="Arial"/>
        <w:i/>
        <w:color w:val="000000"/>
        <w:spacing w:val="-1"/>
        <w:sz w:val="16"/>
        <w:szCs w:val="16"/>
      </w:rPr>
      <w:t xml:space="preserve">and </w:t>
    </w:r>
    <w:r>
      <w:rPr>
        <w:rFonts w:ascii="Arial" w:eastAsia="Arial" w:hAnsi="Arial" w:cs="Arial"/>
        <w:i/>
        <w:color w:val="000000"/>
        <w:spacing w:val="-1"/>
        <w:sz w:val="16"/>
        <w:szCs w:val="16"/>
      </w:rPr>
      <w:t>Finance</w:t>
    </w:r>
    <w:r>
      <w:rPr>
        <w:rFonts w:ascii="Arial" w:eastAsia="Arial" w:hAnsi="Arial" w:cs="Arial"/>
        <w:i/>
        <w:color w:val="000000"/>
        <w:spacing w:val="-1"/>
        <w:sz w:val="16"/>
        <w:szCs w:val="16"/>
      </w:rPr>
      <w:tab/>
    </w:r>
    <w:r w:rsidRPr="00B62BAE">
      <w:rPr>
        <w:rFonts w:ascii="Arial" w:eastAsia="Arial" w:hAnsi="Arial" w:cs="Arial"/>
        <w:i/>
        <w:color w:val="000000"/>
        <w:spacing w:val="-1"/>
        <w:sz w:val="16"/>
        <w:szCs w:val="16"/>
      </w:rPr>
      <w:tab/>
    </w:r>
    <w:r>
      <w:rPr>
        <w:rFonts w:ascii="Arial" w:eastAsia="Arial" w:hAnsi="Arial" w:cs="Arial"/>
        <w:i/>
        <w:color w:val="000000"/>
        <w:spacing w:val="-1"/>
        <w:sz w:val="16"/>
        <w:szCs w:val="16"/>
      </w:rPr>
      <w:t xml:space="preserve">     November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964EC" w14:textId="64646264" w:rsidR="00B8038B" w:rsidRPr="00B8038B" w:rsidRDefault="00B8038B" w:rsidP="00B8038B">
    <w:pPr>
      <w:pStyle w:val="Header"/>
      <w:pBdr>
        <w:bottom w:val="single" w:sz="4" w:space="1" w:color="auto"/>
      </w:pBdr>
      <w:rPr>
        <w:rFonts w:ascii="Arial" w:hAnsi="Arial" w:cs="Arial"/>
        <w:sz w:val="16"/>
        <w:szCs w:val="16"/>
      </w:rPr>
    </w:pPr>
    <w:r w:rsidRPr="00B62BAE">
      <w:rPr>
        <w:rFonts w:ascii="Arial" w:hAnsi="Arial" w:cs="Arial"/>
        <w:sz w:val="16"/>
        <w:szCs w:val="16"/>
      </w:rPr>
      <w:t>20</w:t>
    </w:r>
    <w:r>
      <w:rPr>
        <w:rFonts w:ascii="Arial" w:hAnsi="Arial" w:cs="Arial"/>
        <w:sz w:val="16"/>
        <w:szCs w:val="16"/>
      </w:rPr>
      <w:t>25</w:t>
    </w:r>
    <w:r w:rsidRPr="00B62BAE">
      <w:rPr>
        <w:rFonts w:ascii="Arial" w:hAnsi="Arial" w:cs="Arial"/>
        <w:sz w:val="16"/>
        <w:szCs w:val="16"/>
      </w:rPr>
      <w:tab/>
    </w:r>
    <w:r w:rsidR="008C50DF">
      <w:rPr>
        <w:rFonts w:ascii="Arial" w:hAnsi="Arial" w:cs="Arial"/>
        <w:sz w:val="16"/>
        <w:szCs w:val="16"/>
      </w:rPr>
      <w:t>Kaushik N, Dr. Gopalakrishnan Chinnasamy</w:t>
    </w:r>
    <w:r w:rsidRPr="00B62BAE">
      <w:rPr>
        <w:rFonts w:ascii="Arial" w:hAnsi="Arial" w:cs="Arial"/>
        <w:sz w:val="16"/>
        <w:szCs w:val="16"/>
      </w:rPr>
      <w:tab/>
    </w: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Pr>
        <w:rFonts w:ascii="Arial" w:hAnsi="Arial" w:cs="Arial"/>
        <w:sz w:val="16"/>
        <w:szCs w:val="16"/>
      </w:rPr>
      <w:t>1</w:t>
    </w:r>
    <w:r w:rsidRPr="00B62BAE">
      <w:rPr>
        <w:rFonts w:ascii="Arial" w:hAnsi="Arial" w:cs="Arial"/>
        <w:noProof/>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292A" w14:textId="14AC64FE" w:rsidR="00716993" w:rsidRPr="008C50DF" w:rsidRDefault="00716993" w:rsidP="008C50DF">
    <w:pPr>
      <w:pBdr>
        <w:bottom w:val="single" w:sz="4" w:space="1" w:color="auto"/>
      </w:pBdr>
      <w:spacing w:after="0" w:line="160" w:lineRule="atLeast"/>
      <w:jc w:val="both"/>
      <w:rPr>
        <w:rFonts w:ascii="Arial" w:hAnsi="Arial" w:cs="Arial"/>
        <w:sz w:val="16"/>
        <w:szCs w:val="16"/>
      </w:rPr>
    </w:pP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Pr>
        <w:rFonts w:ascii="Arial" w:hAnsi="Arial" w:cs="Arial"/>
        <w:sz w:val="16"/>
        <w:szCs w:val="16"/>
      </w:rPr>
      <w:t>4</w:t>
    </w:r>
    <w:r w:rsidRPr="00B62BAE">
      <w:rPr>
        <w:rFonts w:ascii="Arial" w:hAnsi="Arial" w:cs="Arial"/>
        <w:noProof/>
        <w:sz w:val="16"/>
        <w:szCs w:val="16"/>
      </w:rPr>
      <w:fldChar w:fldCharType="end"/>
    </w:r>
    <w:r w:rsidRPr="00B62BAE">
      <w:rPr>
        <w:rFonts w:ascii="Arial" w:hAnsi="Arial" w:cs="Arial"/>
        <w:noProof/>
        <w:sz w:val="16"/>
        <w:szCs w:val="16"/>
      </w:rPr>
      <w:tab/>
    </w:r>
    <w:r>
      <w:rPr>
        <w:rFonts w:ascii="Arial" w:hAnsi="Arial" w:cs="Arial"/>
        <w:noProof/>
        <w:sz w:val="16"/>
        <w:szCs w:val="16"/>
      </w:rPr>
      <w:tab/>
      <w:t xml:space="preserve">         </w:t>
    </w:r>
    <w:r w:rsidRPr="00B62BAE">
      <w:rPr>
        <w:rFonts w:ascii="Arial" w:eastAsia="Arial" w:hAnsi="Arial" w:cs="Arial"/>
        <w:i/>
        <w:color w:val="000000"/>
        <w:sz w:val="16"/>
        <w:szCs w:val="16"/>
      </w:rPr>
      <w:t>International</w:t>
    </w:r>
    <w:r w:rsidRPr="00B62BAE">
      <w:rPr>
        <w:rFonts w:ascii="Arial" w:eastAsia="Arial" w:hAnsi="Arial" w:cs="Arial"/>
        <w:i/>
        <w:color w:val="000000"/>
        <w:spacing w:val="-1"/>
        <w:sz w:val="16"/>
        <w:szCs w:val="16"/>
      </w:rPr>
      <w:t xml:space="preserve"> Academic Research Journal of </w:t>
    </w:r>
    <w:r>
      <w:rPr>
        <w:rFonts w:ascii="Arial" w:eastAsia="Arial" w:hAnsi="Arial" w:cs="Arial"/>
        <w:i/>
        <w:color w:val="000000"/>
        <w:spacing w:val="-1"/>
        <w:sz w:val="16"/>
        <w:szCs w:val="16"/>
      </w:rPr>
      <w:t xml:space="preserve">Economics </w:t>
    </w:r>
    <w:r w:rsidRPr="00B62BAE">
      <w:rPr>
        <w:rFonts w:ascii="Arial" w:eastAsia="Arial" w:hAnsi="Arial" w:cs="Arial"/>
        <w:i/>
        <w:color w:val="000000"/>
        <w:spacing w:val="-1"/>
        <w:sz w:val="16"/>
        <w:szCs w:val="16"/>
      </w:rPr>
      <w:t xml:space="preserve">and </w:t>
    </w:r>
    <w:r>
      <w:rPr>
        <w:rFonts w:ascii="Arial" w:eastAsia="Arial" w:hAnsi="Arial" w:cs="Arial"/>
        <w:i/>
        <w:color w:val="000000"/>
        <w:spacing w:val="-1"/>
        <w:sz w:val="16"/>
        <w:szCs w:val="16"/>
      </w:rPr>
      <w:t>Finance</w:t>
    </w:r>
    <w:r>
      <w:rPr>
        <w:rFonts w:ascii="Arial" w:eastAsia="Arial" w:hAnsi="Arial" w:cs="Arial"/>
        <w:i/>
        <w:color w:val="000000"/>
        <w:spacing w:val="-1"/>
        <w:sz w:val="16"/>
        <w:szCs w:val="16"/>
      </w:rPr>
      <w:tab/>
    </w:r>
    <w:r w:rsidRPr="00B62BAE">
      <w:rPr>
        <w:rFonts w:ascii="Arial" w:eastAsia="Arial" w:hAnsi="Arial" w:cs="Arial"/>
        <w:i/>
        <w:color w:val="000000"/>
        <w:spacing w:val="-1"/>
        <w:sz w:val="16"/>
        <w:szCs w:val="16"/>
      </w:rPr>
      <w:tab/>
    </w:r>
    <w:r>
      <w:rPr>
        <w:rFonts w:ascii="Arial" w:eastAsia="Arial" w:hAnsi="Arial" w:cs="Arial"/>
        <w:i/>
        <w:color w:val="000000"/>
        <w:spacing w:val="-1"/>
        <w:sz w:val="16"/>
        <w:szCs w:val="16"/>
      </w:rPr>
      <w:t xml:space="preserve">   December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5118"/>
    <w:multiLevelType w:val="multilevel"/>
    <w:tmpl w:val="B5A8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E4B1B"/>
    <w:multiLevelType w:val="multilevel"/>
    <w:tmpl w:val="13CA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41975"/>
    <w:multiLevelType w:val="multilevel"/>
    <w:tmpl w:val="B3206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416784"/>
    <w:multiLevelType w:val="multilevel"/>
    <w:tmpl w:val="2140F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BC6886"/>
    <w:multiLevelType w:val="multilevel"/>
    <w:tmpl w:val="4A54D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1012686">
    <w:abstractNumId w:val="0"/>
  </w:num>
  <w:num w:numId="2" w16cid:durableId="434324702">
    <w:abstractNumId w:val="1"/>
  </w:num>
  <w:num w:numId="3" w16cid:durableId="1583833823">
    <w:abstractNumId w:val="4"/>
  </w:num>
  <w:num w:numId="4" w16cid:durableId="827943104">
    <w:abstractNumId w:val="2"/>
  </w:num>
  <w:num w:numId="5" w16cid:durableId="30422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A64"/>
    <w:rsid w:val="00086D87"/>
    <w:rsid w:val="00130A01"/>
    <w:rsid w:val="002A59A5"/>
    <w:rsid w:val="003A3E81"/>
    <w:rsid w:val="00587473"/>
    <w:rsid w:val="00716993"/>
    <w:rsid w:val="007641DA"/>
    <w:rsid w:val="00775DC2"/>
    <w:rsid w:val="00776A64"/>
    <w:rsid w:val="00853FEB"/>
    <w:rsid w:val="008C50DF"/>
    <w:rsid w:val="00AD4058"/>
    <w:rsid w:val="00AE7983"/>
    <w:rsid w:val="00B8038B"/>
    <w:rsid w:val="00D54C29"/>
    <w:rsid w:val="00E83FE0"/>
    <w:rsid w:val="00F655A0"/>
    <w:rsid w:val="00FC6EFB"/>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09DFE"/>
  <w15:chartTrackingRefBased/>
  <w15:docId w15:val="{92F6DA22-92FF-48FC-9246-78473192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6A64"/>
    <w:rPr>
      <w:color w:val="0563C1" w:themeColor="hyperlink"/>
      <w:u w:val="single"/>
    </w:rPr>
  </w:style>
  <w:style w:type="paragraph" w:styleId="Header">
    <w:name w:val="header"/>
    <w:basedOn w:val="Normal"/>
    <w:link w:val="HeaderChar"/>
    <w:uiPriority w:val="99"/>
    <w:unhideWhenUsed/>
    <w:rsid w:val="00B80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38B"/>
  </w:style>
  <w:style w:type="paragraph" w:styleId="Footer">
    <w:name w:val="footer"/>
    <w:basedOn w:val="Normal"/>
    <w:link w:val="FooterChar"/>
    <w:uiPriority w:val="99"/>
    <w:unhideWhenUsed/>
    <w:rsid w:val="00B803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38B"/>
  </w:style>
  <w:style w:type="table" w:styleId="TableGrid">
    <w:name w:val="Table Grid"/>
    <w:basedOn w:val="TableNormal"/>
    <w:uiPriority w:val="39"/>
    <w:rsid w:val="00B80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75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2708">
      <w:bodyDiv w:val="1"/>
      <w:marLeft w:val="0"/>
      <w:marRight w:val="0"/>
      <w:marTop w:val="0"/>
      <w:marBottom w:val="0"/>
      <w:divBdr>
        <w:top w:val="none" w:sz="0" w:space="0" w:color="auto"/>
        <w:left w:val="none" w:sz="0" w:space="0" w:color="auto"/>
        <w:bottom w:val="none" w:sz="0" w:space="0" w:color="auto"/>
        <w:right w:val="none" w:sz="0" w:space="0" w:color="auto"/>
      </w:divBdr>
      <w:divsChild>
        <w:div w:id="1232081822">
          <w:marLeft w:val="0"/>
          <w:marRight w:val="0"/>
          <w:marTop w:val="0"/>
          <w:marBottom w:val="0"/>
          <w:divBdr>
            <w:top w:val="none" w:sz="0" w:space="0" w:color="auto"/>
            <w:left w:val="none" w:sz="0" w:space="0" w:color="auto"/>
            <w:bottom w:val="none" w:sz="0" w:space="0" w:color="auto"/>
            <w:right w:val="none" w:sz="0" w:space="0" w:color="auto"/>
          </w:divBdr>
        </w:div>
      </w:divsChild>
    </w:div>
    <w:div w:id="263462018">
      <w:bodyDiv w:val="1"/>
      <w:marLeft w:val="0"/>
      <w:marRight w:val="0"/>
      <w:marTop w:val="0"/>
      <w:marBottom w:val="0"/>
      <w:divBdr>
        <w:top w:val="none" w:sz="0" w:space="0" w:color="auto"/>
        <w:left w:val="none" w:sz="0" w:space="0" w:color="auto"/>
        <w:bottom w:val="none" w:sz="0" w:space="0" w:color="auto"/>
        <w:right w:val="none" w:sz="0" w:space="0" w:color="auto"/>
      </w:divBdr>
      <w:divsChild>
        <w:div w:id="1917353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5281/zenodo.1771913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1323</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CMS-STAFF139</dc:creator>
  <cp:keywords/>
  <dc:description/>
  <cp:lastModifiedBy>Ravi chandran</cp:lastModifiedBy>
  <cp:revision>11</cp:revision>
  <dcterms:created xsi:type="dcterms:W3CDTF">2025-10-28T04:29:00Z</dcterms:created>
  <dcterms:modified xsi:type="dcterms:W3CDTF">2025-11-26T05:42:00Z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2025-11-14T04:37:23Z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2233788e-8b2f-4480-8d4a-27a2933a6283</vt:lpwstr>
  </property>
  <property fmtid="{D5CDD505-2E9C-101B-9397-08002B2CF9AE}" pid="7" name="MSIP_Label_defa4170-0d19-0005-0004-bc88714345d2_ActionId">
    <vt:lpwstr>65128b67-9792-46fb-9adf-523ca13f0575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