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995A" w14:textId="56CBE65E" w:rsidR="00576379" w:rsidRPr="00FA13C3" w:rsidRDefault="00576379" w:rsidP="00576379">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9A3D7D">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3FB24E25" w14:textId="77777777" w:rsidR="009A3D7D" w:rsidRDefault="00576379" w:rsidP="00576379">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56E0A732" w14:textId="7ECD71F2" w:rsidR="009A3D7D" w:rsidRDefault="009A3D7D" w:rsidP="00576379">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 xml:space="preserve">DOI: </w:t>
      </w:r>
      <w:hyperlink r:id="rId7" w:history="1">
        <w:r w:rsidRPr="00D90AEB">
          <w:rPr>
            <w:rStyle w:val="Hyperlink"/>
            <w:rFonts w:ascii="Arial" w:eastAsia="Arial" w:hAnsi="Arial" w:cs="Arial"/>
            <w:i/>
            <w:spacing w:val="-1"/>
            <w:sz w:val="14"/>
            <w:szCs w:val="14"/>
          </w:rPr>
          <w:t>https://doi.org/10.5281/zenodo.17719183</w:t>
        </w:r>
      </w:hyperlink>
    </w:p>
    <w:p w14:paraId="3C4EDD99" w14:textId="7A382497" w:rsidR="00576379" w:rsidRPr="00FA13C3" w:rsidRDefault="00576379" w:rsidP="00576379">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6D84F68E" w14:textId="77777777" w:rsidR="00576379" w:rsidRDefault="00576379" w:rsidP="00D06A2C">
      <w:pPr>
        <w:jc w:val="center"/>
        <w:rPr>
          <w:rFonts w:ascii="Times New Roman" w:hAnsi="Times New Roman" w:cs="Times New Roman"/>
          <w:b/>
          <w:bCs/>
          <w:sz w:val="28"/>
          <w:szCs w:val="24"/>
        </w:rPr>
      </w:pPr>
    </w:p>
    <w:p w14:paraId="05484ED4" w14:textId="2F1FAEE3" w:rsidR="00D06A2C" w:rsidRDefault="00D06A2C" w:rsidP="00D06A2C">
      <w:pPr>
        <w:jc w:val="center"/>
        <w:rPr>
          <w:rFonts w:ascii="Times New Roman" w:hAnsi="Times New Roman" w:cs="Times New Roman"/>
          <w:b/>
          <w:bCs/>
          <w:sz w:val="28"/>
          <w:szCs w:val="24"/>
        </w:rPr>
      </w:pPr>
      <w:r w:rsidRPr="00D06A2C">
        <w:rPr>
          <w:rFonts w:ascii="Times New Roman" w:hAnsi="Times New Roman" w:cs="Times New Roman"/>
          <w:b/>
          <w:bCs/>
          <w:sz w:val="28"/>
          <w:szCs w:val="24"/>
        </w:rPr>
        <w:t>Operational Excellence in TDS, ITR, and Financial Compliance: InstaFiling (Finzo Ventures Pvt. Ltd.)</w:t>
      </w:r>
    </w:p>
    <w:p w14:paraId="12A98399" w14:textId="77777777" w:rsidR="001A43A0" w:rsidRPr="001A43A0" w:rsidRDefault="001A43A0" w:rsidP="00D06A2C">
      <w:pPr>
        <w:jc w:val="center"/>
        <w:rPr>
          <w:rFonts w:ascii="Times New Roman" w:hAnsi="Times New Roman" w:cs="Times New Roman"/>
          <w:b/>
          <w:bCs/>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4050"/>
      </w:tblGrid>
      <w:tr w:rsidR="001A43A0" w14:paraId="5364525C" w14:textId="77777777" w:rsidTr="001A43A0">
        <w:trPr>
          <w:jc w:val="center"/>
        </w:trPr>
        <w:tc>
          <w:tcPr>
            <w:tcW w:w="3865" w:type="dxa"/>
          </w:tcPr>
          <w:p w14:paraId="25F5BB43" w14:textId="77777777" w:rsidR="001A43A0" w:rsidRPr="001A43A0" w:rsidRDefault="001A43A0" w:rsidP="001A43A0">
            <w:pPr>
              <w:jc w:val="center"/>
              <w:rPr>
                <w:rFonts w:ascii="Arial" w:hAnsi="Arial" w:cs="Arial"/>
                <w:sz w:val="16"/>
                <w:szCs w:val="16"/>
              </w:rPr>
            </w:pPr>
            <w:r w:rsidRPr="001A43A0">
              <w:rPr>
                <w:rFonts w:ascii="Arial" w:hAnsi="Arial" w:cs="Arial"/>
                <w:b/>
                <w:bCs/>
                <w:sz w:val="16"/>
                <w:szCs w:val="16"/>
              </w:rPr>
              <w:t>Deeksharani</w:t>
            </w:r>
            <w:r w:rsidRPr="001A43A0">
              <w:rPr>
                <w:rFonts w:ascii="Arial" w:hAnsi="Arial" w:cs="Arial"/>
                <w:sz w:val="16"/>
                <w:szCs w:val="16"/>
              </w:rPr>
              <w:t xml:space="preserve"> </w:t>
            </w:r>
          </w:p>
          <w:p w14:paraId="34466E33" w14:textId="77777777" w:rsidR="001A43A0" w:rsidRDefault="001A43A0" w:rsidP="001A43A0">
            <w:pPr>
              <w:jc w:val="center"/>
              <w:rPr>
                <w:rFonts w:ascii="Arial" w:hAnsi="Arial" w:cs="Arial"/>
                <w:sz w:val="16"/>
                <w:szCs w:val="16"/>
              </w:rPr>
            </w:pPr>
            <w:r w:rsidRPr="001A43A0">
              <w:rPr>
                <w:rFonts w:ascii="Arial" w:hAnsi="Arial" w:cs="Arial"/>
                <w:sz w:val="16"/>
                <w:szCs w:val="16"/>
              </w:rPr>
              <w:t xml:space="preserve">Student, Faculty of Management Studies, </w:t>
            </w:r>
          </w:p>
          <w:p w14:paraId="190DC876" w14:textId="77777777" w:rsidR="001A43A0" w:rsidRDefault="001A43A0" w:rsidP="001A43A0">
            <w:pPr>
              <w:jc w:val="center"/>
              <w:rPr>
                <w:rFonts w:ascii="Arial" w:hAnsi="Arial" w:cs="Arial"/>
                <w:sz w:val="16"/>
                <w:szCs w:val="16"/>
              </w:rPr>
            </w:pPr>
            <w:r w:rsidRPr="001A43A0">
              <w:rPr>
                <w:rFonts w:ascii="Arial" w:hAnsi="Arial" w:cs="Arial"/>
                <w:sz w:val="16"/>
                <w:szCs w:val="16"/>
              </w:rPr>
              <w:t xml:space="preserve">CMS Business School, </w:t>
            </w:r>
          </w:p>
          <w:p w14:paraId="3B275E3C" w14:textId="0CFE7651" w:rsidR="001A43A0" w:rsidRPr="001A43A0" w:rsidRDefault="001A43A0" w:rsidP="001A43A0">
            <w:pPr>
              <w:jc w:val="center"/>
              <w:rPr>
                <w:rFonts w:ascii="Arial" w:hAnsi="Arial" w:cs="Arial"/>
                <w:sz w:val="16"/>
                <w:szCs w:val="16"/>
              </w:rPr>
            </w:pPr>
            <w:r w:rsidRPr="001A43A0">
              <w:rPr>
                <w:rFonts w:ascii="Arial" w:hAnsi="Arial" w:cs="Arial"/>
                <w:sz w:val="16"/>
                <w:szCs w:val="16"/>
              </w:rPr>
              <w:t>JAIN (Deemed-to-be University) Bangalore, India</w:t>
            </w:r>
          </w:p>
        </w:tc>
        <w:tc>
          <w:tcPr>
            <w:tcW w:w="4050" w:type="dxa"/>
          </w:tcPr>
          <w:p w14:paraId="5A5CDFAB" w14:textId="77777777" w:rsidR="001A43A0" w:rsidRPr="001A43A0" w:rsidRDefault="001A43A0" w:rsidP="001A43A0">
            <w:pPr>
              <w:jc w:val="center"/>
              <w:outlineLvl w:val="0"/>
              <w:rPr>
                <w:rFonts w:ascii="Arial" w:hAnsi="Arial" w:cs="Arial"/>
                <w:bCs/>
                <w:sz w:val="16"/>
                <w:szCs w:val="16"/>
              </w:rPr>
            </w:pPr>
            <w:r w:rsidRPr="001A43A0">
              <w:rPr>
                <w:rFonts w:ascii="Arial" w:hAnsi="Arial" w:cs="Arial"/>
                <w:b/>
                <w:bCs/>
                <w:sz w:val="16"/>
                <w:szCs w:val="16"/>
              </w:rPr>
              <w:t>Dr. Hanish Kukreja</w:t>
            </w:r>
            <w:r w:rsidRPr="001A43A0">
              <w:rPr>
                <w:rFonts w:ascii="Arial" w:hAnsi="Arial" w:cs="Arial"/>
                <w:bCs/>
                <w:sz w:val="16"/>
                <w:szCs w:val="16"/>
              </w:rPr>
              <w:t xml:space="preserve"> </w:t>
            </w:r>
          </w:p>
          <w:p w14:paraId="094916B6" w14:textId="77777777" w:rsidR="001A43A0" w:rsidRDefault="001A43A0" w:rsidP="001A43A0">
            <w:pPr>
              <w:jc w:val="center"/>
              <w:outlineLvl w:val="0"/>
              <w:rPr>
                <w:rFonts w:ascii="Arial" w:hAnsi="Arial" w:cs="Arial"/>
                <w:sz w:val="16"/>
                <w:szCs w:val="16"/>
              </w:rPr>
            </w:pPr>
            <w:r w:rsidRPr="001A43A0">
              <w:rPr>
                <w:rFonts w:ascii="Arial" w:hAnsi="Arial" w:cs="Arial"/>
                <w:bCs/>
                <w:sz w:val="16"/>
                <w:szCs w:val="16"/>
              </w:rPr>
              <w:t>Assistant</w:t>
            </w:r>
            <w:r w:rsidRPr="001A43A0">
              <w:rPr>
                <w:rFonts w:ascii="Arial" w:hAnsi="Arial" w:cs="Arial"/>
                <w:b/>
                <w:bCs/>
                <w:sz w:val="16"/>
                <w:szCs w:val="16"/>
              </w:rPr>
              <w:t xml:space="preserve"> </w:t>
            </w:r>
            <w:r w:rsidRPr="001A43A0">
              <w:rPr>
                <w:rFonts w:ascii="Arial" w:hAnsi="Arial" w:cs="Arial"/>
                <w:sz w:val="16"/>
                <w:szCs w:val="16"/>
              </w:rPr>
              <w:t>Professor, Faculty of Management Studies,</w:t>
            </w:r>
          </w:p>
          <w:p w14:paraId="37FD8461" w14:textId="40D011D6" w:rsidR="001A43A0" w:rsidRPr="001A43A0" w:rsidRDefault="001A43A0" w:rsidP="001A43A0">
            <w:pPr>
              <w:jc w:val="center"/>
              <w:outlineLvl w:val="0"/>
              <w:rPr>
                <w:rFonts w:ascii="Arial" w:hAnsi="Arial" w:cs="Arial"/>
                <w:sz w:val="16"/>
                <w:szCs w:val="16"/>
              </w:rPr>
            </w:pPr>
            <w:r w:rsidRPr="001A43A0">
              <w:rPr>
                <w:rFonts w:ascii="Arial" w:hAnsi="Arial" w:cs="Arial"/>
                <w:sz w:val="16"/>
                <w:szCs w:val="16"/>
              </w:rPr>
              <w:t xml:space="preserve"> CMS Business School, </w:t>
            </w:r>
          </w:p>
          <w:p w14:paraId="7056F790" w14:textId="4505E07B" w:rsidR="001A43A0" w:rsidRPr="001A43A0" w:rsidRDefault="001A43A0" w:rsidP="001A43A0">
            <w:pPr>
              <w:jc w:val="center"/>
              <w:outlineLvl w:val="0"/>
              <w:rPr>
                <w:rFonts w:ascii="Arial" w:hAnsi="Arial" w:cs="Arial"/>
                <w:sz w:val="16"/>
                <w:szCs w:val="16"/>
              </w:rPr>
            </w:pPr>
            <w:r w:rsidRPr="001A43A0">
              <w:rPr>
                <w:rFonts w:ascii="Arial" w:hAnsi="Arial" w:cs="Arial"/>
                <w:sz w:val="16"/>
                <w:szCs w:val="16"/>
              </w:rPr>
              <w:t xml:space="preserve">JAIN (Deemed-to-be University) Bangalore, India. </w:t>
            </w:r>
          </w:p>
        </w:tc>
      </w:tr>
    </w:tbl>
    <w:p w14:paraId="3A931EF5" w14:textId="77777777" w:rsidR="001A43A0" w:rsidRPr="00D06A2C" w:rsidRDefault="001A43A0" w:rsidP="00D06A2C">
      <w:pPr>
        <w:jc w:val="center"/>
        <w:rPr>
          <w:rFonts w:ascii="Times New Roman" w:hAnsi="Times New Roman" w:cs="Times New Roman"/>
          <w:b/>
          <w:bCs/>
          <w:sz w:val="28"/>
          <w:szCs w:val="24"/>
        </w:rPr>
      </w:pPr>
    </w:p>
    <w:p w14:paraId="6028D71E" w14:textId="049F81DC" w:rsidR="00D06A2C" w:rsidRPr="001A43A0" w:rsidRDefault="00D06A2C" w:rsidP="001A43A0">
      <w:pPr>
        <w:spacing w:after="0" w:line="240" w:lineRule="auto"/>
        <w:ind w:left="720" w:right="386"/>
        <w:jc w:val="center"/>
        <w:rPr>
          <w:rFonts w:ascii="Arial" w:hAnsi="Arial" w:cs="Arial"/>
          <w:b/>
          <w:bCs/>
          <w:i/>
          <w:iCs/>
          <w:sz w:val="18"/>
          <w:szCs w:val="18"/>
        </w:rPr>
      </w:pPr>
      <w:r w:rsidRPr="001A43A0">
        <w:rPr>
          <w:rFonts w:ascii="Arial" w:hAnsi="Arial" w:cs="Arial"/>
          <w:b/>
          <w:bCs/>
          <w:i/>
          <w:iCs/>
          <w:sz w:val="18"/>
          <w:szCs w:val="18"/>
        </w:rPr>
        <w:t>Abstract</w:t>
      </w:r>
    </w:p>
    <w:p w14:paraId="61071049" w14:textId="77777777" w:rsidR="001A43A0" w:rsidRDefault="001A43A0" w:rsidP="001A43A0">
      <w:pPr>
        <w:spacing w:after="0" w:line="240" w:lineRule="auto"/>
        <w:ind w:left="720" w:right="386"/>
        <w:jc w:val="both"/>
        <w:rPr>
          <w:rFonts w:ascii="Arial" w:hAnsi="Arial" w:cs="Arial"/>
          <w:sz w:val="18"/>
          <w:szCs w:val="18"/>
        </w:rPr>
      </w:pPr>
    </w:p>
    <w:p w14:paraId="19D175D7" w14:textId="39A744CC" w:rsidR="00D06A2C" w:rsidRDefault="00D06A2C" w:rsidP="001A43A0">
      <w:pPr>
        <w:spacing w:after="0" w:line="240" w:lineRule="auto"/>
        <w:ind w:left="720" w:right="386"/>
        <w:jc w:val="both"/>
        <w:rPr>
          <w:rFonts w:ascii="Arial" w:hAnsi="Arial" w:cs="Arial"/>
          <w:sz w:val="18"/>
          <w:szCs w:val="18"/>
        </w:rPr>
      </w:pPr>
      <w:r w:rsidRPr="001A43A0">
        <w:rPr>
          <w:rFonts w:ascii="Arial" w:hAnsi="Arial" w:cs="Arial"/>
          <w:sz w:val="18"/>
          <w:szCs w:val="18"/>
        </w:rPr>
        <w:t>Compliance firms in India face volatile workloads, evolving regulations, and frequent gaps in client data submission. InstaFiling, a cloud-enabled compliance service provider for MSMEs and startups, struggled with delayed client inputs, mismatches between records and 26AS statements, and manual classification of bank statements. Manual reconciliations and dispersed evidence increased cycle times across TDS, ITR, and financial statement preparation, impacting audit readiness and client satisfaction. Drawing on internship observations, this case presents a control-first operating model featuring standardized client checklists with reminder schedules, AI-assisted reconciliations, maker-checker review protocols, and a KPI dashboard for monitoring variance aging, rework rates, and on-time filings. The model aligns with guidance from the CBDT, GSTN, and ICAI, focusing on lifting accuracy and timeliness without sacrificing confidentiality or client experience. The study stresses the importance of process standardization, technological integration, and workforce training in scaling compliance services amid a dynamic regulatory landscape. Limitations related to implementation fidelity and data quality are acknowledged, with findings intended to be triangulated in local operating contexts.</w:t>
      </w:r>
    </w:p>
    <w:p w14:paraId="10ECF278" w14:textId="77777777" w:rsidR="001A43A0" w:rsidRPr="001A43A0" w:rsidRDefault="001A43A0" w:rsidP="001A43A0">
      <w:pPr>
        <w:spacing w:after="0" w:line="240" w:lineRule="auto"/>
        <w:ind w:left="720" w:right="386"/>
        <w:jc w:val="both"/>
        <w:rPr>
          <w:rFonts w:ascii="Arial" w:hAnsi="Arial" w:cs="Arial"/>
          <w:sz w:val="18"/>
          <w:szCs w:val="18"/>
        </w:rPr>
      </w:pPr>
    </w:p>
    <w:p w14:paraId="13A267B7" w14:textId="21655737" w:rsidR="00D06A2C" w:rsidRDefault="00D06A2C" w:rsidP="001A43A0">
      <w:pPr>
        <w:spacing w:after="0" w:line="240" w:lineRule="auto"/>
        <w:ind w:left="720" w:right="386"/>
        <w:jc w:val="both"/>
        <w:rPr>
          <w:rFonts w:ascii="Arial" w:hAnsi="Arial" w:cs="Arial"/>
          <w:sz w:val="18"/>
          <w:szCs w:val="18"/>
        </w:rPr>
      </w:pPr>
      <w:r w:rsidRPr="001A43A0">
        <w:rPr>
          <w:rFonts w:ascii="Arial" w:hAnsi="Arial" w:cs="Arial"/>
          <w:b/>
          <w:bCs/>
          <w:sz w:val="18"/>
          <w:szCs w:val="18"/>
        </w:rPr>
        <w:t>Keywords:</w:t>
      </w:r>
      <w:r w:rsidRPr="001A43A0">
        <w:rPr>
          <w:rFonts w:ascii="Arial" w:hAnsi="Arial" w:cs="Arial"/>
          <w:sz w:val="18"/>
          <w:szCs w:val="18"/>
        </w:rPr>
        <w:t xml:space="preserve"> TDS, ITR, GST, reconciliation, maker-checker, client data, operating model</w:t>
      </w:r>
      <w:r w:rsidR="009A3D7D">
        <w:rPr>
          <w:rFonts w:ascii="Arial" w:hAnsi="Arial" w:cs="Arial"/>
          <w:sz w:val="18"/>
          <w:szCs w:val="18"/>
        </w:rPr>
        <w:t>.</w:t>
      </w:r>
    </w:p>
    <w:p w14:paraId="4C10C01F" w14:textId="77777777" w:rsidR="001A43A0" w:rsidRPr="001A43A0" w:rsidRDefault="001A43A0" w:rsidP="001A43A0">
      <w:pPr>
        <w:spacing w:after="0" w:line="240" w:lineRule="auto"/>
        <w:jc w:val="both"/>
        <w:rPr>
          <w:rFonts w:ascii="Arial" w:hAnsi="Arial" w:cs="Arial"/>
          <w:sz w:val="18"/>
          <w:szCs w:val="18"/>
        </w:rPr>
      </w:pPr>
    </w:p>
    <w:p w14:paraId="6BC9B49E" w14:textId="77777777" w:rsidR="001A43A0" w:rsidRDefault="001A43A0" w:rsidP="001A43A0">
      <w:pPr>
        <w:spacing w:after="120" w:line="276" w:lineRule="auto"/>
        <w:jc w:val="both"/>
        <w:rPr>
          <w:rFonts w:ascii="Arial" w:hAnsi="Arial" w:cs="Arial"/>
          <w:b/>
          <w:bCs/>
        </w:rPr>
        <w:sectPr w:rsidR="001A43A0" w:rsidSect="004A6B8C">
          <w:headerReference w:type="even" r:id="rId8"/>
          <w:headerReference w:type="default" r:id="rId9"/>
          <w:pgSz w:w="11906" w:h="16838" w:code="9"/>
          <w:pgMar w:top="1440" w:right="1440" w:bottom="1440" w:left="1440" w:header="1008" w:footer="720" w:gutter="0"/>
          <w:pgNumType w:start="12"/>
          <w:cols w:space="708"/>
          <w:docGrid w:linePitch="360"/>
        </w:sectPr>
      </w:pPr>
    </w:p>
    <w:p w14:paraId="3D0B9949" w14:textId="77777777" w:rsidR="001A43A0" w:rsidRDefault="001A43A0" w:rsidP="001A43A0">
      <w:pPr>
        <w:spacing w:after="120" w:line="276" w:lineRule="auto"/>
        <w:jc w:val="center"/>
        <w:rPr>
          <w:rFonts w:ascii="Arial" w:hAnsi="Arial" w:cs="Arial"/>
          <w:b/>
          <w:bCs/>
          <w:caps/>
        </w:rPr>
      </w:pPr>
    </w:p>
    <w:p w14:paraId="58718A35" w14:textId="3422FB33" w:rsidR="00D06A2C" w:rsidRDefault="00D06A2C" w:rsidP="001A43A0">
      <w:pPr>
        <w:spacing w:after="120" w:line="276" w:lineRule="auto"/>
        <w:jc w:val="center"/>
        <w:rPr>
          <w:rFonts w:ascii="Arial" w:hAnsi="Arial" w:cs="Arial"/>
          <w:b/>
          <w:bCs/>
          <w:caps/>
        </w:rPr>
      </w:pPr>
      <w:r w:rsidRPr="001A43A0">
        <w:rPr>
          <w:rFonts w:ascii="Arial" w:hAnsi="Arial" w:cs="Arial"/>
          <w:b/>
          <w:bCs/>
          <w:caps/>
        </w:rPr>
        <w:t>Case Introduction</w:t>
      </w:r>
    </w:p>
    <w:p w14:paraId="206936FC" w14:textId="77777777" w:rsidR="001A43A0" w:rsidRPr="001A43A0" w:rsidRDefault="001A43A0" w:rsidP="001A43A0">
      <w:pPr>
        <w:spacing w:after="120" w:line="276" w:lineRule="auto"/>
        <w:jc w:val="center"/>
        <w:rPr>
          <w:rFonts w:ascii="Arial" w:hAnsi="Arial" w:cs="Arial"/>
          <w:b/>
          <w:bCs/>
          <w:caps/>
          <w:sz w:val="14"/>
          <w:szCs w:val="14"/>
        </w:rPr>
      </w:pPr>
    </w:p>
    <w:p w14:paraId="16CFEBF9"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InstaFiling serves MSME and startup clients through cloud-based technology to manage GST filings, TDS/TCS compliance, Income Tax Returns, and preparation of financial statements. Despite technological adoption, the company confronted significant operational challenges emerging from client-side delays in submitting required documents and data mismatches between internal records and authoritative sources such as Form 26AS and AIS reports.</w:t>
      </w:r>
    </w:p>
    <w:p w14:paraId="419C6555"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 xml:space="preserve">Manual processes predominated in tracking, classifying, and reconciling bank statements and TDS records, leading to extended turnaround times and increased </w:t>
      </w:r>
      <w:r w:rsidRPr="001A43A0">
        <w:rPr>
          <w:rFonts w:ascii="Arial" w:hAnsi="Arial" w:cs="Arial"/>
        </w:rPr>
        <w:t>risk of audit queries or penalties due to mistakes or delayed compliance. The internship identified bottlenecks centered around scattered evidence management, inconsistent reconciliation standards, and reactive task execution.</w:t>
      </w:r>
    </w:p>
    <w:p w14:paraId="27E8385C"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 xml:space="preserve">To address these issues, standardized client data intake checklists were designed supported by systematic automatic reminders. AI-driven reconciliation engines were piloted to match records proactively. Maker-checker review regimes ensured layered validation, while management dashboards provided real-time visibility on pending tasks and compliance health. Crucially, a culture of proactive client communication and staff training emerged to strengthen adoption and reduce errors. The case exemplifies a shift from fragmented crisis management to scalable operational discipline in digital </w:t>
      </w:r>
      <w:r w:rsidRPr="001A43A0">
        <w:rPr>
          <w:rFonts w:ascii="Arial" w:hAnsi="Arial" w:cs="Arial"/>
        </w:rPr>
        <w:lastRenderedPageBreak/>
        <w:t>compliance services tailored for evolving regulatory frameworks.</w:t>
      </w:r>
    </w:p>
    <w:p w14:paraId="12C6EA08" w14:textId="77777777" w:rsidR="00D06A2C" w:rsidRPr="002A3256" w:rsidRDefault="00D06A2C" w:rsidP="002A3256">
      <w:pPr>
        <w:spacing w:after="120" w:line="276" w:lineRule="auto"/>
        <w:jc w:val="center"/>
        <w:rPr>
          <w:rFonts w:ascii="Arial" w:hAnsi="Arial" w:cs="Arial"/>
          <w:b/>
          <w:bCs/>
          <w:caps/>
        </w:rPr>
      </w:pPr>
      <w:r w:rsidRPr="002A3256">
        <w:rPr>
          <w:rFonts w:ascii="Arial" w:hAnsi="Arial" w:cs="Arial"/>
          <w:b/>
          <w:bCs/>
          <w:caps/>
        </w:rPr>
        <w:t>About the Industry</w:t>
      </w:r>
    </w:p>
    <w:p w14:paraId="740CE8C1"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India’s compliance ecosystem is rapidly evolving under the influence of GST implementation, mandatory e-invoicing, faceless tax assessments, and data-driven regulatory oversight. Compliance service providers operate under tight windows and frequent tax regulation updates, requiring timely and accurate reporting with comprehensive cross-referencing of multi-system data sources including GSTN, Income Tax AIS, and third-party accounting ledgers.</w:t>
      </w:r>
    </w:p>
    <w:p w14:paraId="2E4A28A1"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Professional entities like ICAI, CBDT, and GSTN issue continuous guidance emphasizing contemporaneous documentation, secure data handling, and role-based access controls to protect confidentiality and audit readiness. Despite automations introduced in tax portals, client-side delays, data inconsistencies, and manual reconciliations remain major operational challenges, especially for MSME clients less digitally mature.</w:t>
      </w:r>
    </w:p>
    <w:p w14:paraId="6E056D58"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Research highlights the strategic value of process automation, AI-assisted reconciliation, and client education as critical enablers for scaling high-volume digital compliance. Yet, uneven technology penetration and evolving regulatory complexity necessitate a hybrid approach combining advanced tools with procedural rigor and knowledgeable workforce capabilities. This landscape shapes the policies and operational models firms must develop to maintain compliance agility while minimizing operational risk.</w:t>
      </w:r>
    </w:p>
    <w:p w14:paraId="6140C666" w14:textId="77777777" w:rsidR="00D06A2C" w:rsidRPr="001A43A0" w:rsidRDefault="00D06A2C" w:rsidP="001A43A0">
      <w:pPr>
        <w:spacing w:after="120" w:line="276" w:lineRule="auto"/>
        <w:jc w:val="both"/>
        <w:rPr>
          <w:rFonts w:ascii="Arial" w:hAnsi="Arial" w:cs="Arial"/>
          <w:b/>
          <w:bCs/>
        </w:rPr>
      </w:pPr>
      <w:r w:rsidRPr="001A43A0">
        <w:rPr>
          <w:rFonts w:ascii="Arial" w:hAnsi="Arial" w:cs="Arial"/>
          <w:b/>
          <w:bCs/>
        </w:rPr>
        <w:t>Problems Faced by the Industry with Reviews</w:t>
      </w:r>
    </w:p>
    <w:p w14:paraId="0D081398"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 xml:space="preserve">The compliance services industry contends with persistent data quality issues, frequent tax provisions updates, and complex multi-jurisdictional </w:t>
      </w:r>
      <w:r w:rsidRPr="001A43A0">
        <w:rPr>
          <w:rFonts w:ascii="Arial" w:hAnsi="Arial" w:cs="Arial"/>
        </w:rPr>
        <w:t>compliance requirements. Manual reconciliations introduce errors and increase cycle time, fueling exposure to penalties and audit disputes. Client data delays and non-standardized submission formats exacerbate inefficiencies.</w:t>
      </w:r>
    </w:p>
    <w:p w14:paraId="09E46E36" w14:textId="77777777" w:rsidR="00D06A2C" w:rsidRPr="001A43A0" w:rsidRDefault="00D06A2C" w:rsidP="001A43A0">
      <w:pPr>
        <w:spacing w:after="120" w:line="276" w:lineRule="auto"/>
        <w:ind w:firstLine="360"/>
        <w:jc w:val="both"/>
        <w:rPr>
          <w:rFonts w:ascii="Arial" w:hAnsi="Arial" w:cs="Arial"/>
        </w:rPr>
      </w:pPr>
      <w:r w:rsidRPr="001A43A0">
        <w:rPr>
          <w:rFonts w:ascii="Arial" w:hAnsi="Arial" w:cs="Arial"/>
        </w:rPr>
        <w:t>Key literature underscores these challenges:</w:t>
      </w:r>
    </w:p>
    <w:p w14:paraId="1B64C5BE" w14:textId="77777777" w:rsidR="00D06A2C" w:rsidRPr="001A43A0" w:rsidRDefault="00D06A2C" w:rsidP="001A43A0">
      <w:pPr>
        <w:numPr>
          <w:ilvl w:val="0"/>
          <w:numId w:val="1"/>
        </w:numPr>
        <w:tabs>
          <w:tab w:val="clear" w:pos="720"/>
        </w:tabs>
        <w:spacing w:after="120" w:line="276" w:lineRule="auto"/>
        <w:ind w:left="270"/>
        <w:jc w:val="both"/>
        <w:rPr>
          <w:rFonts w:ascii="Arial" w:hAnsi="Arial" w:cs="Arial"/>
        </w:rPr>
      </w:pPr>
      <w:r w:rsidRPr="001A43A0">
        <w:rPr>
          <w:rFonts w:ascii="Arial" w:hAnsi="Arial" w:cs="Arial"/>
        </w:rPr>
        <w:t>Central Board of Direct Taxes (2023) highlights reconciliation complexities between Form 26AS and taxpayer records as a major source of disputes.</w:t>
      </w:r>
    </w:p>
    <w:p w14:paraId="0402BF60" w14:textId="77777777" w:rsidR="00D06A2C" w:rsidRPr="001A43A0" w:rsidRDefault="00D06A2C" w:rsidP="001A43A0">
      <w:pPr>
        <w:numPr>
          <w:ilvl w:val="0"/>
          <w:numId w:val="1"/>
        </w:numPr>
        <w:tabs>
          <w:tab w:val="clear" w:pos="720"/>
        </w:tabs>
        <w:spacing w:after="120" w:line="276" w:lineRule="auto"/>
        <w:ind w:left="270"/>
        <w:jc w:val="both"/>
        <w:rPr>
          <w:rFonts w:ascii="Arial" w:hAnsi="Arial" w:cs="Arial"/>
        </w:rPr>
      </w:pPr>
      <w:r w:rsidRPr="001A43A0">
        <w:rPr>
          <w:rFonts w:ascii="Arial" w:hAnsi="Arial" w:cs="Arial"/>
        </w:rPr>
        <w:t>Goods and Services Tax Network (2024) advocates automated tools and standardized reporting to minimize processing delays and errors.</w:t>
      </w:r>
    </w:p>
    <w:p w14:paraId="787485F0" w14:textId="77777777" w:rsidR="00D06A2C" w:rsidRPr="001A43A0" w:rsidRDefault="00D06A2C" w:rsidP="001A43A0">
      <w:pPr>
        <w:numPr>
          <w:ilvl w:val="0"/>
          <w:numId w:val="1"/>
        </w:numPr>
        <w:tabs>
          <w:tab w:val="clear" w:pos="720"/>
        </w:tabs>
        <w:spacing w:after="120" w:line="276" w:lineRule="auto"/>
        <w:ind w:left="270"/>
        <w:jc w:val="both"/>
        <w:rPr>
          <w:rFonts w:ascii="Arial" w:hAnsi="Arial" w:cs="Arial"/>
        </w:rPr>
      </w:pPr>
      <w:r w:rsidRPr="001A43A0">
        <w:rPr>
          <w:rFonts w:ascii="Arial" w:hAnsi="Arial" w:cs="Arial"/>
        </w:rPr>
        <w:t>Institute of Chartered Accountants of India (2023) emphasizes the importance of layered approval processes and secure evidence capture for compliance integrity.</w:t>
      </w:r>
    </w:p>
    <w:p w14:paraId="29432DA4" w14:textId="77777777" w:rsidR="00D06A2C" w:rsidRPr="001A43A0" w:rsidRDefault="00D06A2C" w:rsidP="001A43A0">
      <w:pPr>
        <w:numPr>
          <w:ilvl w:val="0"/>
          <w:numId w:val="1"/>
        </w:numPr>
        <w:tabs>
          <w:tab w:val="clear" w:pos="720"/>
        </w:tabs>
        <w:spacing w:after="120" w:line="276" w:lineRule="auto"/>
        <w:ind w:left="270"/>
        <w:jc w:val="both"/>
        <w:rPr>
          <w:rFonts w:ascii="Arial" w:hAnsi="Arial" w:cs="Arial"/>
        </w:rPr>
      </w:pPr>
      <w:r w:rsidRPr="001A43A0">
        <w:rPr>
          <w:rFonts w:ascii="Arial" w:hAnsi="Arial" w:cs="Arial"/>
        </w:rPr>
        <w:t>PwC India (2022) suggests that advanced AI and analytics can reduce reconciliation effort while improving anomaly detection.</w:t>
      </w:r>
    </w:p>
    <w:p w14:paraId="113AC453" w14:textId="77777777" w:rsidR="00D06A2C" w:rsidRPr="001A43A0" w:rsidRDefault="00D06A2C" w:rsidP="001A43A0">
      <w:pPr>
        <w:numPr>
          <w:ilvl w:val="0"/>
          <w:numId w:val="1"/>
        </w:numPr>
        <w:tabs>
          <w:tab w:val="clear" w:pos="720"/>
        </w:tabs>
        <w:spacing w:after="120" w:line="276" w:lineRule="auto"/>
        <w:ind w:left="270"/>
        <w:jc w:val="both"/>
        <w:rPr>
          <w:rFonts w:ascii="Arial" w:hAnsi="Arial" w:cs="Arial"/>
        </w:rPr>
      </w:pPr>
      <w:r w:rsidRPr="001A43A0">
        <w:rPr>
          <w:rFonts w:ascii="Arial" w:hAnsi="Arial" w:cs="Arial"/>
        </w:rPr>
        <w:t>Academic research (Deeksharani, 2025) reinforces the necessity for workflow automation partnered with proactive client education and staff training programs.</w:t>
      </w:r>
    </w:p>
    <w:p w14:paraId="168A4C2B"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These reviews highlight that addressing reconciliation, automation, and client engagement holistically is essential to transforming compliance operations.</w:t>
      </w:r>
    </w:p>
    <w:p w14:paraId="5298C0F2" w14:textId="77777777" w:rsidR="00D06A2C" w:rsidRPr="002A3256" w:rsidRDefault="00D06A2C" w:rsidP="002A3256">
      <w:pPr>
        <w:spacing w:after="120" w:line="276" w:lineRule="auto"/>
        <w:jc w:val="center"/>
        <w:rPr>
          <w:rFonts w:ascii="Arial" w:hAnsi="Arial" w:cs="Arial"/>
          <w:b/>
          <w:bCs/>
          <w:caps/>
        </w:rPr>
      </w:pPr>
      <w:r w:rsidRPr="002A3256">
        <w:rPr>
          <w:rFonts w:ascii="Arial" w:hAnsi="Arial" w:cs="Arial"/>
          <w:b/>
          <w:bCs/>
          <w:caps/>
        </w:rPr>
        <w:t>About the Company</w:t>
      </w:r>
    </w:p>
    <w:p w14:paraId="492EEE03" w14:textId="45EEF322" w:rsidR="00D06A2C" w:rsidRPr="001A43A0" w:rsidRDefault="00D06A2C" w:rsidP="001A43A0">
      <w:pPr>
        <w:spacing w:after="120" w:line="276" w:lineRule="auto"/>
        <w:ind w:firstLine="720"/>
        <w:jc w:val="both"/>
        <w:rPr>
          <w:rFonts w:ascii="Arial" w:hAnsi="Arial" w:cs="Arial"/>
        </w:rPr>
      </w:pPr>
      <w:r w:rsidRPr="001A43A0">
        <w:rPr>
          <w:rFonts w:ascii="Arial" w:hAnsi="Arial" w:cs="Arial"/>
        </w:rPr>
        <w:t>Insta</w:t>
      </w:r>
      <w:r w:rsidR="002A3256">
        <w:rPr>
          <w:rFonts w:ascii="Arial" w:hAnsi="Arial" w:cs="Arial"/>
        </w:rPr>
        <w:t xml:space="preserve"> </w:t>
      </w:r>
      <w:r w:rsidRPr="001A43A0">
        <w:rPr>
          <w:rFonts w:ascii="Arial" w:hAnsi="Arial" w:cs="Arial"/>
        </w:rPr>
        <w:t xml:space="preserve">Filing (Finzo Ventures Pvt. Ltd.) offers tax and compliance services enabled by Tax Cloud technology integrated with Tally Prime and online regulatory portals. Its client base primarily comprises MSMEs and startups facing compliance complexity with limited resources. Despite digital adoption, growth brought new challenges: recurring client </w:t>
      </w:r>
      <w:r w:rsidRPr="001A43A0">
        <w:rPr>
          <w:rFonts w:ascii="Arial" w:hAnsi="Arial" w:cs="Arial"/>
        </w:rPr>
        <w:lastRenderedPageBreak/>
        <w:t>data gaps, late submissions, inconsistent reconciliation approaches, and fragmented evidence repositories.</w:t>
      </w:r>
    </w:p>
    <w:p w14:paraId="286DCAB9"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The firm operates across multiple compliance verticals including GST returns, TDS obligations, Income Tax Return filings, and financial statement preparation. Manual bank statement classifications and scattered client inputs caused variable turnaround and elevated error risk. Internship experience focused on codifying operating procedures, automating data flows, and instituting layered maker-checker reviews with secure audit trails and role-based access to evidence.</w:t>
      </w:r>
    </w:p>
    <w:p w14:paraId="1706E8B0"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Management recognized the need to standardize processes, enforce batch control cadences, and deploy AI-assisted reconciliation engines for scalable, accurate compliance, while preserving client experience and confidentiality.</w:t>
      </w:r>
    </w:p>
    <w:p w14:paraId="7F19545E" w14:textId="77777777" w:rsidR="00D06A2C" w:rsidRPr="001A43A0" w:rsidRDefault="00D06A2C" w:rsidP="001A43A0">
      <w:pPr>
        <w:spacing w:after="120" w:line="276" w:lineRule="auto"/>
        <w:jc w:val="both"/>
        <w:rPr>
          <w:rFonts w:ascii="Arial" w:hAnsi="Arial" w:cs="Arial"/>
          <w:b/>
          <w:bCs/>
        </w:rPr>
      </w:pPr>
      <w:r w:rsidRPr="001A43A0">
        <w:rPr>
          <w:rFonts w:ascii="Arial" w:hAnsi="Arial" w:cs="Arial"/>
          <w:b/>
          <w:bCs/>
        </w:rPr>
        <w:t>Problems Faced by the Company with Reviews</w:t>
      </w:r>
    </w:p>
    <w:p w14:paraId="09C68F57"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Operational bottlenecks included delayed client documents, frequent mismatches between recorded TDS and official forms, and manual transaction classifications increasing cycle times and audit risk. Scattered evidence storage and missing formal review stages generated inconsistent compliance quality.</w:t>
      </w:r>
    </w:p>
    <w:p w14:paraId="2175B361" w14:textId="77777777" w:rsidR="00D06A2C" w:rsidRPr="001A43A0" w:rsidRDefault="00D06A2C" w:rsidP="001A43A0">
      <w:pPr>
        <w:spacing w:after="120" w:line="276" w:lineRule="auto"/>
        <w:jc w:val="both"/>
        <w:rPr>
          <w:rFonts w:ascii="Arial" w:hAnsi="Arial" w:cs="Arial"/>
        </w:rPr>
      </w:pPr>
      <w:r w:rsidRPr="001A43A0">
        <w:rPr>
          <w:rFonts w:ascii="Arial" w:hAnsi="Arial" w:cs="Arial"/>
        </w:rPr>
        <w:t>Supporting reviews include:</w:t>
      </w:r>
    </w:p>
    <w:p w14:paraId="3B6F619C" w14:textId="77777777" w:rsidR="00D06A2C" w:rsidRPr="001A43A0" w:rsidRDefault="00D06A2C" w:rsidP="001A43A0">
      <w:pPr>
        <w:numPr>
          <w:ilvl w:val="0"/>
          <w:numId w:val="2"/>
        </w:numPr>
        <w:tabs>
          <w:tab w:val="clear" w:pos="720"/>
        </w:tabs>
        <w:spacing w:after="120" w:line="276" w:lineRule="auto"/>
        <w:ind w:left="450"/>
        <w:jc w:val="both"/>
        <w:rPr>
          <w:rFonts w:ascii="Arial" w:hAnsi="Arial" w:cs="Arial"/>
        </w:rPr>
      </w:pPr>
      <w:r w:rsidRPr="001A43A0">
        <w:rPr>
          <w:rFonts w:ascii="Arial" w:hAnsi="Arial" w:cs="Arial"/>
        </w:rPr>
        <w:t>Central Board of Direct Taxes (2023) emphasizes predefined checklists to enforce data completeness before filings.</w:t>
      </w:r>
    </w:p>
    <w:p w14:paraId="3B00818D" w14:textId="77777777" w:rsidR="00D06A2C" w:rsidRPr="001A43A0" w:rsidRDefault="00D06A2C" w:rsidP="001A43A0">
      <w:pPr>
        <w:numPr>
          <w:ilvl w:val="0"/>
          <w:numId w:val="2"/>
        </w:numPr>
        <w:tabs>
          <w:tab w:val="clear" w:pos="720"/>
        </w:tabs>
        <w:spacing w:after="120" w:line="276" w:lineRule="auto"/>
        <w:ind w:left="450"/>
        <w:jc w:val="both"/>
        <w:rPr>
          <w:rFonts w:ascii="Arial" w:hAnsi="Arial" w:cs="Arial"/>
        </w:rPr>
      </w:pPr>
      <w:r w:rsidRPr="001A43A0">
        <w:rPr>
          <w:rFonts w:ascii="Arial" w:hAnsi="Arial" w:cs="Arial"/>
        </w:rPr>
        <w:t>Goods and Services Tax Network (2024) recommends AI and automation for reconciliation efficiency and error reduction.</w:t>
      </w:r>
    </w:p>
    <w:p w14:paraId="1D76DCEF" w14:textId="77777777" w:rsidR="00D06A2C" w:rsidRPr="001A43A0" w:rsidRDefault="00D06A2C" w:rsidP="001A43A0">
      <w:pPr>
        <w:numPr>
          <w:ilvl w:val="0"/>
          <w:numId w:val="2"/>
        </w:numPr>
        <w:tabs>
          <w:tab w:val="clear" w:pos="720"/>
        </w:tabs>
        <w:spacing w:after="120" w:line="276" w:lineRule="auto"/>
        <w:ind w:left="450"/>
        <w:jc w:val="both"/>
        <w:rPr>
          <w:rFonts w:ascii="Arial" w:hAnsi="Arial" w:cs="Arial"/>
        </w:rPr>
      </w:pPr>
      <w:r w:rsidRPr="001A43A0">
        <w:rPr>
          <w:rFonts w:ascii="Arial" w:hAnsi="Arial" w:cs="Arial"/>
        </w:rPr>
        <w:t xml:space="preserve">Institute of Chartered Accountants of India (2023) outlines best practices for </w:t>
      </w:r>
      <w:r w:rsidRPr="001A43A0">
        <w:rPr>
          <w:rFonts w:ascii="Arial" w:hAnsi="Arial" w:cs="Arial"/>
        </w:rPr>
        <w:t>maker-checker controls and evidence archival.</w:t>
      </w:r>
    </w:p>
    <w:p w14:paraId="74068713" w14:textId="77777777" w:rsidR="00D06A2C" w:rsidRPr="001A43A0" w:rsidRDefault="00D06A2C" w:rsidP="001A43A0">
      <w:pPr>
        <w:numPr>
          <w:ilvl w:val="0"/>
          <w:numId w:val="2"/>
        </w:numPr>
        <w:tabs>
          <w:tab w:val="clear" w:pos="720"/>
        </w:tabs>
        <w:spacing w:after="120" w:line="276" w:lineRule="auto"/>
        <w:ind w:left="450"/>
        <w:jc w:val="both"/>
        <w:rPr>
          <w:rFonts w:ascii="Arial" w:hAnsi="Arial" w:cs="Arial"/>
        </w:rPr>
      </w:pPr>
      <w:r w:rsidRPr="001A43A0">
        <w:rPr>
          <w:rFonts w:ascii="Arial" w:hAnsi="Arial" w:cs="Arial"/>
        </w:rPr>
        <w:t>Deeksharani (2025) documents beneficial impacts of workload smoothing and client communication to reduce filing backlogs.</w:t>
      </w:r>
    </w:p>
    <w:p w14:paraId="3978E455" w14:textId="77777777" w:rsidR="00D06A2C" w:rsidRPr="001A43A0" w:rsidRDefault="00D06A2C" w:rsidP="001A43A0">
      <w:pPr>
        <w:numPr>
          <w:ilvl w:val="0"/>
          <w:numId w:val="2"/>
        </w:numPr>
        <w:tabs>
          <w:tab w:val="clear" w:pos="720"/>
        </w:tabs>
        <w:spacing w:after="120" w:line="276" w:lineRule="auto"/>
        <w:ind w:left="450"/>
        <w:jc w:val="both"/>
        <w:rPr>
          <w:rFonts w:ascii="Arial" w:hAnsi="Arial" w:cs="Arial"/>
        </w:rPr>
      </w:pPr>
      <w:r w:rsidRPr="001A43A0">
        <w:rPr>
          <w:rFonts w:ascii="Arial" w:hAnsi="Arial" w:cs="Arial"/>
        </w:rPr>
        <w:t>Deloitte India (2023) finds that compliance firms integrating AI-enhanced workflows alongside training experience improved risk management and client retention.</w:t>
      </w:r>
    </w:p>
    <w:p w14:paraId="6DDC513D" w14:textId="77777777" w:rsidR="00D06A2C" w:rsidRPr="001A43A0" w:rsidRDefault="00D06A2C" w:rsidP="001A43A0">
      <w:pPr>
        <w:spacing w:after="120" w:line="276" w:lineRule="auto"/>
        <w:ind w:firstLine="450"/>
        <w:jc w:val="both"/>
        <w:rPr>
          <w:rFonts w:ascii="Arial" w:hAnsi="Arial" w:cs="Arial"/>
        </w:rPr>
      </w:pPr>
      <w:r w:rsidRPr="001A43A0">
        <w:rPr>
          <w:rFonts w:ascii="Arial" w:hAnsi="Arial" w:cs="Arial"/>
        </w:rPr>
        <w:t>Collectively these insights reveal a comprehensive solution combining technology, process discipline, and change management is critical.</w:t>
      </w:r>
    </w:p>
    <w:p w14:paraId="3825927D" w14:textId="77777777" w:rsidR="00D06A2C" w:rsidRPr="001A43A0" w:rsidRDefault="00D06A2C" w:rsidP="001A43A0">
      <w:pPr>
        <w:spacing w:after="120" w:line="276" w:lineRule="auto"/>
        <w:jc w:val="both"/>
        <w:rPr>
          <w:rFonts w:ascii="Arial" w:hAnsi="Arial" w:cs="Arial"/>
          <w:b/>
          <w:bCs/>
        </w:rPr>
      </w:pPr>
      <w:r w:rsidRPr="001A43A0">
        <w:rPr>
          <w:rFonts w:ascii="Arial" w:hAnsi="Arial" w:cs="Arial"/>
          <w:b/>
          <w:bCs/>
        </w:rPr>
        <w:t>Academic Learning</w:t>
      </w:r>
    </w:p>
    <w:p w14:paraId="14718CAC"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Students translate real-world challenges into control-centric operating models comprising: (i) structured client data intake supplemented by automated reminders, (ii) AI-based reconciliation flows integrating multi-source data including Form 26AS and bank statements, (iii) maker-checker governed evidence repositories with role-based access and audit trails, and (iv) operational KPIs tracking variance aging, rework, and filing timeliness.</w:t>
      </w:r>
    </w:p>
    <w:p w14:paraId="632E4BFE"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Through designing SOPs aligned with CBDT and GSTN regulatory formats and crafting training curricula on emerging tax portals and analytics tools, learners develop comprehensive, scalable digital compliance solutions. The curriculum underscores converting erratic reactive cycles into predictable throughput sustained by an informed workforce and resilient technology.</w:t>
      </w:r>
    </w:p>
    <w:p w14:paraId="0226413E" w14:textId="77777777" w:rsidR="00D06A2C" w:rsidRPr="001A43A0" w:rsidRDefault="00D06A2C" w:rsidP="001A43A0">
      <w:pPr>
        <w:spacing w:after="120" w:line="276" w:lineRule="auto"/>
        <w:jc w:val="center"/>
        <w:rPr>
          <w:rFonts w:ascii="Arial" w:hAnsi="Arial" w:cs="Arial"/>
          <w:b/>
          <w:bCs/>
          <w:caps/>
        </w:rPr>
      </w:pPr>
      <w:r w:rsidRPr="001A43A0">
        <w:rPr>
          <w:rFonts w:ascii="Arial" w:hAnsi="Arial" w:cs="Arial"/>
          <w:b/>
          <w:bCs/>
          <w:caps/>
        </w:rPr>
        <w:t>Conclusion</w:t>
      </w:r>
    </w:p>
    <w:p w14:paraId="10A1A591"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 xml:space="preserve">Sustained compliance efficiency emerges from layered controls, automation, and proactive client engagement. InstaFiling’s experience demonstrates that implementing client </w:t>
      </w:r>
      <w:r w:rsidRPr="001A43A0">
        <w:rPr>
          <w:rFonts w:ascii="Arial" w:hAnsi="Arial" w:cs="Arial"/>
        </w:rPr>
        <w:lastRenderedPageBreak/>
        <w:t>checklists, AI-assisted reconciliations, structured maker-checker approval frameworks, and KPI dashboards substantially improves filing accuracy and timeliness without compromising confidentiality.</w:t>
      </w:r>
    </w:p>
    <w:p w14:paraId="24596E71" w14:textId="77777777" w:rsidR="00D06A2C" w:rsidRPr="001A43A0" w:rsidRDefault="00D06A2C" w:rsidP="001A43A0">
      <w:pPr>
        <w:spacing w:after="120" w:line="276" w:lineRule="auto"/>
        <w:ind w:firstLine="720"/>
        <w:jc w:val="both"/>
        <w:rPr>
          <w:rFonts w:ascii="Arial" w:hAnsi="Arial" w:cs="Arial"/>
        </w:rPr>
      </w:pPr>
      <w:r w:rsidRPr="001A43A0">
        <w:rPr>
          <w:rFonts w:ascii="Arial" w:hAnsi="Arial" w:cs="Arial"/>
        </w:rPr>
        <w:t>Aligning operational routines with regulatory guidance from CBDT, GSTN, and ICAI creates a fertile foundation for scaling compliance services. The case illustrates that harmonizing process, technology, and talent management is indispensable to thriving in India’s rapidly evolving tax ecosystem and realizing transformational excellence.</w:t>
      </w:r>
    </w:p>
    <w:p w14:paraId="15EEA977" w14:textId="77777777" w:rsidR="00D06A2C" w:rsidRPr="001A43A0" w:rsidRDefault="00D06A2C" w:rsidP="001A43A0">
      <w:pPr>
        <w:spacing w:after="120" w:line="276" w:lineRule="auto"/>
        <w:jc w:val="center"/>
        <w:rPr>
          <w:rFonts w:ascii="Arial" w:hAnsi="Arial" w:cs="Arial"/>
          <w:b/>
          <w:bCs/>
          <w:caps/>
        </w:rPr>
      </w:pPr>
      <w:r w:rsidRPr="001A43A0">
        <w:rPr>
          <w:rFonts w:ascii="Arial" w:hAnsi="Arial" w:cs="Arial"/>
          <w:b/>
          <w:bCs/>
          <w:caps/>
        </w:rPr>
        <w:t>Case Questions</w:t>
      </w:r>
    </w:p>
    <w:p w14:paraId="7FE7E77C" w14:textId="77777777" w:rsidR="00D06A2C" w:rsidRPr="001A43A0" w:rsidRDefault="00D06A2C" w:rsidP="001A43A0">
      <w:pPr>
        <w:numPr>
          <w:ilvl w:val="0"/>
          <w:numId w:val="3"/>
        </w:numPr>
        <w:tabs>
          <w:tab w:val="clear" w:pos="720"/>
        </w:tabs>
        <w:spacing w:after="120" w:line="276" w:lineRule="auto"/>
        <w:ind w:left="360"/>
        <w:jc w:val="both"/>
        <w:rPr>
          <w:rFonts w:ascii="Arial" w:hAnsi="Arial" w:cs="Arial"/>
        </w:rPr>
      </w:pPr>
      <w:r w:rsidRPr="001A43A0">
        <w:rPr>
          <w:rFonts w:ascii="Arial" w:hAnsi="Arial" w:cs="Arial"/>
        </w:rPr>
        <w:t>Draft a comprehensive client-data checklist incorporating automated reminders to improve early completeness.</w:t>
      </w:r>
    </w:p>
    <w:p w14:paraId="7EA87528" w14:textId="77777777" w:rsidR="00D06A2C" w:rsidRPr="001A43A0" w:rsidRDefault="00D06A2C" w:rsidP="001A43A0">
      <w:pPr>
        <w:numPr>
          <w:ilvl w:val="0"/>
          <w:numId w:val="3"/>
        </w:numPr>
        <w:tabs>
          <w:tab w:val="clear" w:pos="720"/>
        </w:tabs>
        <w:spacing w:after="120" w:line="276" w:lineRule="auto"/>
        <w:ind w:left="360"/>
        <w:jc w:val="both"/>
        <w:rPr>
          <w:rFonts w:ascii="Arial" w:hAnsi="Arial" w:cs="Arial"/>
        </w:rPr>
      </w:pPr>
      <w:r w:rsidRPr="001A43A0">
        <w:rPr>
          <w:rFonts w:ascii="Arial" w:hAnsi="Arial" w:cs="Arial"/>
        </w:rPr>
        <w:t>Design an automated AIS/26AS and GST reconciliation workflow featuring exception classification and maker-checker signoffs.</w:t>
      </w:r>
    </w:p>
    <w:p w14:paraId="1FA37C24" w14:textId="77777777" w:rsidR="00D06A2C" w:rsidRPr="001A43A0" w:rsidRDefault="00D06A2C" w:rsidP="001A43A0">
      <w:pPr>
        <w:numPr>
          <w:ilvl w:val="0"/>
          <w:numId w:val="3"/>
        </w:numPr>
        <w:tabs>
          <w:tab w:val="clear" w:pos="720"/>
        </w:tabs>
        <w:spacing w:after="120" w:line="276" w:lineRule="auto"/>
        <w:ind w:left="360"/>
        <w:jc w:val="both"/>
        <w:rPr>
          <w:rFonts w:ascii="Arial" w:hAnsi="Arial" w:cs="Arial"/>
        </w:rPr>
      </w:pPr>
      <w:r w:rsidRPr="001A43A0">
        <w:rPr>
          <w:rFonts w:ascii="Arial" w:hAnsi="Arial" w:cs="Arial"/>
        </w:rPr>
        <w:t>Specify requirements for an evidence repository with role-based access, retention policies, and audit trail features.</w:t>
      </w:r>
    </w:p>
    <w:p w14:paraId="5DDE2740" w14:textId="77777777" w:rsidR="00D06A2C" w:rsidRPr="001A43A0" w:rsidRDefault="00D06A2C" w:rsidP="001A43A0">
      <w:pPr>
        <w:numPr>
          <w:ilvl w:val="0"/>
          <w:numId w:val="3"/>
        </w:numPr>
        <w:tabs>
          <w:tab w:val="clear" w:pos="720"/>
        </w:tabs>
        <w:spacing w:after="120" w:line="276" w:lineRule="auto"/>
        <w:ind w:left="360"/>
        <w:jc w:val="both"/>
        <w:rPr>
          <w:rFonts w:ascii="Arial" w:hAnsi="Arial" w:cs="Arial"/>
        </w:rPr>
      </w:pPr>
      <w:r w:rsidRPr="001A43A0">
        <w:rPr>
          <w:rFonts w:ascii="Arial" w:hAnsi="Arial" w:cs="Arial"/>
        </w:rPr>
        <w:t>Construct a KPI dashboard encompassing variance aging, rework frequency, on-time filings, and client satisfaction with assigned process owners.</w:t>
      </w:r>
    </w:p>
    <w:p w14:paraId="2E94A89A" w14:textId="77777777" w:rsidR="00D06A2C" w:rsidRPr="001A43A0" w:rsidRDefault="00D06A2C" w:rsidP="001A43A0">
      <w:pPr>
        <w:spacing w:after="120" w:line="276" w:lineRule="auto"/>
        <w:jc w:val="center"/>
        <w:rPr>
          <w:rFonts w:ascii="Arial" w:hAnsi="Arial" w:cs="Arial"/>
          <w:b/>
          <w:bCs/>
          <w:caps/>
        </w:rPr>
      </w:pPr>
      <w:r w:rsidRPr="001A43A0">
        <w:rPr>
          <w:rFonts w:ascii="Arial" w:hAnsi="Arial" w:cs="Arial"/>
          <w:b/>
          <w:bCs/>
          <w:caps/>
        </w:rPr>
        <w:t>References</w:t>
      </w:r>
    </w:p>
    <w:p w14:paraId="1814FA6F" w14:textId="77777777" w:rsidR="00D06A2C" w:rsidRPr="001A43A0" w:rsidRDefault="00D06A2C" w:rsidP="001A43A0">
      <w:pPr>
        <w:spacing w:after="120" w:line="276" w:lineRule="auto"/>
        <w:ind w:left="720" w:hanging="720"/>
        <w:jc w:val="both"/>
        <w:rPr>
          <w:rFonts w:ascii="Arial" w:hAnsi="Arial" w:cs="Arial"/>
        </w:rPr>
      </w:pPr>
      <w:r w:rsidRPr="001A43A0">
        <w:rPr>
          <w:rFonts w:ascii="Arial" w:hAnsi="Arial" w:cs="Arial"/>
        </w:rPr>
        <w:t>Central Board of Direct Taxes. (2023). Guidelines on TDS/ITR reconciliation and compliance. Government of India.</w:t>
      </w:r>
    </w:p>
    <w:p w14:paraId="77D829AC" w14:textId="77777777" w:rsidR="00D06A2C" w:rsidRPr="001A43A0" w:rsidRDefault="00D06A2C" w:rsidP="001A43A0">
      <w:pPr>
        <w:spacing w:after="120" w:line="276" w:lineRule="auto"/>
        <w:ind w:left="720" w:hanging="720"/>
        <w:jc w:val="both"/>
        <w:rPr>
          <w:rFonts w:ascii="Arial" w:hAnsi="Arial" w:cs="Arial"/>
        </w:rPr>
      </w:pPr>
      <w:r w:rsidRPr="001A43A0">
        <w:rPr>
          <w:rFonts w:ascii="Arial" w:hAnsi="Arial" w:cs="Arial"/>
        </w:rPr>
        <w:t>Deeksharani. (2025). Operational excellence in TDS, ITR, and financial compliance: InstaFiling case study (Unpublished student work).</w:t>
      </w:r>
    </w:p>
    <w:p w14:paraId="3AC391E9" w14:textId="77777777" w:rsidR="00D06A2C" w:rsidRPr="001A43A0" w:rsidRDefault="00D06A2C" w:rsidP="001A43A0">
      <w:pPr>
        <w:spacing w:after="120" w:line="276" w:lineRule="auto"/>
        <w:ind w:left="720" w:hanging="720"/>
        <w:jc w:val="both"/>
        <w:rPr>
          <w:rFonts w:ascii="Arial" w:hAnsi="Arial" w:cs="Arial"/>
        </w:rPr>
      </w:pPr>
      <w:r w:rsidRPr="001A43A0">
        <w:rPr>
          <w:rFonts w:ascii="Arial" w:hAnsi="Arial" w:cs="Arial"/>
        </w:rPr>
        <w:t>Goods and Services Tax Network. (2024). Portal advisories for reconciliation and e-invoicing. GSTN.</w:t>
      </w:r>
    </w:p>
    <w:p w14:paraId="7BC17D2B" w14:textId="77777777" w:rsidR="00D06A2C" w:rsidRPr="001A43A0" w:rsidRDefault="00D06A2C" w:rsidP="001A43A0">
      <w:pPr>
        <w:spacing w:after="120" w:line="276" w:lineRule="auto"/>
        <w:ind w:left="720" w:hanging="720"/>
        <w:jc w:val="both"/>
        <w:rPr>
          <w:rFonts w:ascii="Arial" w:hAnsi="Arial" w:cs="Arial"/>
        </w:rPr>
      </w:pPr>
      <w:r w:rsidRPr="001A43A0">
        <w:rPr>
          <w:rFonts w:ascii="Arial" w:hAnsi="Arial" w:cs="Arial"/>
        </w:rPr>
        <w:t>Institute of Chartered Accountants of India. (2023). Technical guidance on digital compliance and reconciliations. ICAI.</w:t>
      </w:r>
    </w:p>
    <w:p w14:paraId="48EBDF8B" w14:textId="77777777" w:rsidR="00D06A2C" w:rsidRPr="001A43A0" w:rsidRDefault="00D06A2C" w:rsidP="001A43A0">
      <w:pPr>
        <w:spacing w:after="120" w:line="276" w:lineRule="auto"/>
        <w:ind w:left="720" w:hanging="720"/>
        <w:jc w:val="both"/>
        <w:rPr>
          <w:rFonts w:ascii="Arial" w:hAnsi="Arial" w:cs="Arial"/>
        </w:rPr>
      </w:pPr>
      <w:r w:rsidRPr="001A43A0">
        <w:rPr>
          <w:rFonts w:ascii="Arial" w:hAnsi="Arial" w:cs="Arial"/>
        </w:rPr>
        <w:t>Deloitte India. (2023). Emerging trends in tax compliance: AI and workforce transformation.</w:t>
      </w:r>
    </w:p>
    <w:p w14:paraId="1BEBBA54" w14:textId="77777777" w:rsidR="00853FEB" w:rsidRPr="001A43A0" w:rsidRDefault="00853FEB" w:rsidP="001A43A0">
      <w:pPr>
        <w:spacing w:after="120" w:line="276" w:lineRule="auto"/>
        <w:jc w:val="both"/>
        <w:rPr>
          <w:rFonts w:ascii="Arial" w:hAnsi="Arial" w:cs="Arial"/>
        </w:rPr>
      </w:pPr>
    </w:p>
    <w:sectPr w:rsidR="00853FEB" w:rsidRPr="001A43A0" w:rsidSect="001A43A0">
      <w:type w:val="continuous"/>
      <w:pgSz w:w="11906" w:h="16838" w:code="9"/>
      <w:pgMar w:top="1440" w:right="1440" w:bottom="1440" w:left="1440" w:header="1008"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BCCC" w14:textId="77777777" w:rsidR="00265D0C" w:rsidRDefault="00265D0C" w:rsidP="004A6B8C">
      <w:pPr>
        <w:spacing w:after="0" w:line="240" w:lineRule="auto"/>
      </w:pPr>
      <w:r>
        <w:separator/>
      </w:r>
    </w:p>
  </w:endnote>
  <w:endnote w:type="continuationSeparator" w:id="0">
    <w:p w14:paraId="15FC79CC" w14:textId="77777777" w:rsidR="00265D0C" w:rsidRDefault="00265D0C" w:rsidP="004A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6F35" w14:textId="77777777" w:rsidR="00265D0C" w:rsidRDefault="00265D0C" w:rsidP="004A6B8C">
      <w:pPr>
        <w:spacing w:after="0" w:line="240" w:lineRule="auto"/>
      </w:pPr>
      <w:r>
        <w:separator/>
      </w:r>
    </w:p>
  </w:footnote>
  <w:footnote w:type="continuationSeparator" w:id="0">
    <w:p w14:paraId="0753B4FA" w14:textId="77777777" w:rsidR="00265D0C" w:rsidRDefault="00265D0C" w:rsidP="004A6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6C36" w14:textId="40956F1F" w:rsidR="004A6B8C" w:rsidRPr="004A6B8C" w:rsidRDefault="004A6B8C" w:rsidP="004A6B8C">
    <w:pPr>
      <w:pStyle w:val="Header"/>
      <w:pBdr>
        <w:bottom w:val="single" w:sz="4" w:space="1" w:color="auto"/>
      </w:pBdr>
      <w:rPr>
        <w:rFonts w:ascii="Arial" w:hAnsi="Arial" w:cs="Arial"/>
        <w:sz w:val="16"/>
        <w:szCs w:val="16"/>
      </w:rPr>
    </w:pPr>
    <w:r w:rsidRPr="00B62BAE">
      <w:rPr>
        <w:rFonts w:ascii="Arial" w:hAnsi="Arial" w:cs="Arial"/>
        <w:sz w:val="16"/>
        <w:szCs w:val="16"/>
      </w:rPr>
      <w:t>20</w:t>
    </w:r>
    <w:r>
      <w:rPr>
        <w:rFonts w:ascii="Arial" w:hAnsi="Arial" w:cs="Arial"/>
        <w:sz w:val="16"/>
        <w:szCs w:val="16"/>
      </w:rPr>
      <w:t>25</w:t>
    </w:r>
    <w:r w:rsidRPr="00B62BAE">
      <w:rPr>
        <w:rFonts w:ascii="Arial" w:hAnsi="Arial" w:cs="Arial"/>
        <w:sz w:val="16"/>
        <w:szCs w:val="16"/>
      </w:rPr>
      <w:tab/>
    </w:r>
    <w:r>
      <w:rPr>
        <w:rFonts w:ascii="Arial" w:hAnsi="Arial" w:cs="Arial"/>
        <w:sz w:val="16"/>
        <w:szCs w:val="16"/>
      </w:rPr>
      <w:t>Deeksharani, Dr. Hanish Kukreja</w:t>
    </w:r>
    <w:r w:rsidRPr="00B62BAE">
      <w:rPr>
        <w:rFonts w:ascii="Arial" w:hAnsi="Arial" w:cs="Arial"/>
        <w:sz w:val="16"/>
        <w:szCs w:val="16"/>
      </w:rPr>
      <w:tab/>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13</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B7E" w14:textId="78731430" w:rsidR="004A6B8C" w:rsidRPr="004A6B8C" w:rsidRDefault="004A6B8C" w:rsidP="004A6B8C">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10</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85EC5"/>
    <w:multiLevelType w:val="multilevel"/>
    <w:tmpl w:val="DF50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B1F2B"/>
    <w:multiLevelType w:val="multilevel"/>
    <w:tmpl w:val="BD66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07CF6"/>
    <w:multiLevelType w:val="multilevel"/>
    <w:tmpl w:val="6A049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04741B"/>
    <w:multiLevelType w:val="multilevel"/>
    <w:tmpl w:val="E568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8D4A36"/>
    <w:multiLevelType w:val="multilevel"/>
    <w:tmpl w:val="90046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951525">
    <w:abstractNumId w:val="1"/>
  </w:num>
  <w:num w:numId="2" w16cid:durableId="2042513587">
    <w:abstractNumId w:val="3"/>
  </w:num>
  <w:num w:numId="3" w16cid:durableId="1649901360">
    <w:abstractNumId w:val="2"/>
  </w:num>
  <w:num w:numId="4" w16cid:durableId="2029677857">
    <w:abstractNumId w:val="0"/>
  </w:num>
  <w:num w:numId="5" w16cid:durableId="445009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A2C"/>
    <w:rsid w:val="001A43A0"/>
    <w:rsid w:val="00265D0C"/>
    <w:rsid w:val="002A3256"/>
    <w:rsid w:val="00322BDC"/>
    <w:rsid w:val="003E6B3C"/>
    <w:rsid w:val="004A6B8C"/>
    <w:rsid w:val="00576379"/>
    <w:rsid w:val="00583B73"/>
    <w:rsid w:val="00587473"/>
    <w:rsid w:val="00853FEB"/>
    <w:rsid w:val="00881F68"/>
    <w:rsid w:val="009051B0"/>
    <w:rsid w:val="009A3D7D"/>
    <w:rsid w:val="009C70F3"/>
    <w:rsid w:val="00D06A2C"/>
    <w:rsid w:val="00D54C29"/>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EA430"/>
  <w15:chartTrackingRefBased/>
  <w15:docId w15:val="{62EEECC6-AAAA-4C9B-A729-211EC7C8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A2C"/>
    <w:rPr>
      <w:color w:val="0563C1" w:themeColor="hyperlink"/>
      <w:u w:val="single"/>
    </w:rPr>
  </w:style>
  <w:style w:type="table" w:styleId="TableGrid">
    <w:name w:val="Table Grid"/>
    <w:basedOn w:val="TableNormal"/>
    <w:uiPriority w:val="39"/>
    <w:rsid w:val="001A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B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B8C"/>
  </w:style>
  <w:style w:type="paragraph" w:styleId="Footer">
    <w:name w:val="footer"/>
    <w:basedOn w:val="Normal"/>
    <w:link w:val="FooterChar"/>
    <w:uiPriority w:val="99"/>
    <w:unhideWhenUsed/>
    <w:rsid w:val="004A6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B8C"/>
  </w:style>
  <w:style w:type="character" w:styleId="UnresolvedMention">
    <w:name w:val="Unresolved Mention"/>
    <w:basedOn w:val="DefaultParagraphFont"/>
    <w:uiPriority w:val="99"/>
    <w:semiHidden/>
    <w:unhideWhenUsed/>
    <w:rsid w:val="009A3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989056">
      <w:bodyDiv w:val="1"/>
      <w:marLeft w:val="0"/>
      <w:marRight w:val="0"/>
      <w:marTop w:val="0"/>
      <w:marBottom w:val="0"/>
      <w:divBdr>
        <w:top w:val="none" w:sz="0" w:space="0" w:color="auto"/>
        <w:left w:val="none" w:sz="0" w:space="0" w:color="auto"/>
        <w:bottom w:val="none" w:sz="0" w:space="0" w:color="auto"/>
        <w:right w:val="none" w:sz="0" w:space="0" w:color="auto"/>
      </w:divBdr>
      <w:divsChild>
        <w:div w:id="1710648040">
          <w:marLeft w:val="0"/>
          <w:marRight w:val="0"/>
          <w:marTop w:val="0"/>
          <w:marBottom w:val="0"/>
          <w:divBdr>
            <w:top w:val="none" w:sz="0" w:space="0" w:color="auto"/>
            <w:left w:val="none" w:sz="0" w:space="0" w:color="auto"/>
            <w:bottom w:val="none" w:sz="0" w:space="0" w:color="auto"/>
            <w:right w:val="none" w:sz="0" w:space="0" w:color="auto"/>
          </w:divBdr>
        </w:div>
      </w:divsChild>
    </w:div>
    <w:div w:id="1553036329">
      <w:bodyDiv w:val="1"/>
      <w:marLeft w:val="0"/>
      <w:marRight w:val="0"/>
      <w:marTop w:val="0"/>
      <w:marBottom w:val="0"/>
      <w:divBdr>
        <w:top w:val="none" w:sz="0" w:space="0" w:color="auto"/>
        <w:left w:val="none" w:sz="0" w:space="0" w:color="auto"/>
        <w:bottom w:val="none" w:sz="0" w:space="0" w:color="auto"/>
        <w:right w:val="none" w:sz="0" w:space="0" w:color="auto"/>
      </w:divBdr>
      <w:divsChild>
        <w:div w:id="204374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191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8</cp:revision>
  <dcterms:created xsi:type="dcterms:W3CDTF">2025-11-07T03:33:00Z</dcterms:created>
  <dcterms:modified xsi:type="dcterms:W3CDTF">2025-11-26T05:47:00Z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2025-11-14T04:37:48Z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4caa8d7d-2bbf-401d-9ad9-ae72ed28c2fe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