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995A" w14:textId="56CBE65E" w:rsidR="00576379" w:rsidRPr="00FA13C3" w:rsidRDefault="00576379" w:rsidP="00576379">
      <w:pPr>
        <w:spacing w:after="0" w:line="160" w:lineRule="atLeast"/>
        <w:jc w:val="both"/>
        <w:rPr>
          <w:rFonts w:ascii="Arial" w:eastAsia="Arial" w:hAnsi="Arial" w:cs="Arial"/>
          <w:i/>
          <w:color w:val="000000"/>
          <w:spacing w:val="-1"/>
          <w:sz w:val="14"/>
          <w:szCs w:val="14"/>
        </w:rPr>
      </w:pPr>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w:t>
      </w:r>
      <w:r>
        <w:rPr>
          <w:rFonts w:ascii="Arial" w:eastAsia="Arial" w:hAnsi="Arial" w:cs="Arial"/>
          <w:i/>
          <w:color w:val="000000"/>
          <w:spacing w:val="-1"/>
          <w:sz w:val="14"/>
          <w:szCs w:val="14"/>
        </w:rPr>
        <w:t>Economics and Finance</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9A3D7D">
        <w:rPr>
          <w:rFonts w:ascii="Arial" w:eastAsia="Arial" w:hAnsi="Arial" w:cs="Arial"/>
          <w:i/>
          <w:color w:val="000000"/>
          <w:spacing w:val="-1"/>
          <w:sz w:val="14"/>
          <w:szCs w:val="14"/>
        </w:rPr>
        <w:t xml:space="preserve">                </w:t>
      </w:r>
      <w:r w:rsidRPr="00812D87">
        <w:rPr>
          <w:rFonts w:ascii="Arial" w:eastAsia="Arial" w:hAnsi="Arial" w:cs="Arial"/>
          <w:i/>
          <w:color w:val="000000" w:themeColor="text1"/>
          <w:spacing w:val="-1"/>
          <w:sz w:val="14"/>
          <w:szCs w:val="14"/>
        </w:rPr>
        <w:t>ISSN:2227-1287</w:t>
      </w:r>
      <w:r>
        <w:rPr>
          <w:rFonts w:ascii="Arial" w:eastAsia="Arial" w:hAnsi="Arial" w:cs="Arial"/>
          <w:i/>
          <w:color w:val="000000"/>
          <w:spacing w:val="-1"/>
          <w:sz w:val="14"/>
          <w:szCs w:val="14"/>
        </w:rPr>
        <w:tab/>
      </w:r>
    </w:p>
    <w:p w14:paraId="3FB24E25" w14:textId="77777777" w:rsidR="009A3D7D" w:rsidRDefault="00576379" w:rsidP="00576379">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 xml:space="preserve">Volume </w:t>
      </w:r>
      <w:r>
        <w:rPr>
          <w:rFonts w:ascii="Arial" w:eastAsia="Arial" w:hAnsi="Arial" w:cs="Arial"/>
          <w:i/>
          <w:color w:val="000000"/>
          <w:spacing w:val="-1"/>
          <w:sz w:val="14"/>
          <w:szCs w:val="14"/>
        </w:rPr>
        <w:t>8</w:t>
      </w:r>
      <w:r w:rsidRPr="00DF2646">
        <w:rPr>
          <w:rFonts w:ascii="Arial" w:eastAsia="Arial" w:hAnsi="Arial" w:cs="Arial"/>
          <w:i/>
          <w:color w:val="000000"/>
          <w:spacing w:val="-1"/>
          <w:sz w:val="14"/>
          <w:szCs w:val="14"/>
        </w:rPr>
        <w:t>,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1</w:t>
      </w:r>
      <w:r w:rsidRPr="00DF2646">
        <w:rPr>
          <w:rFonts w:ascii="Arial" w:eastAsia="Arial" w:hAnsi="Arial" w:cs="Arial"/>
          <w:i/>
          <w:color w:val="000000"/>
          <w:spacing w:val="-1"/>
          <w:sz w:val="14"/>
          <w:szCs w:val="14"/>
        </w:rPr>
        <w:t xml:space="preserve">, </w:t>
      </w:r>
      <w:r>
        <w:rPr>
          <w:rFonts w:ascii="Arial" w:eastAsia="Arial" w:hAnsi="Arial" w:cs="Arial"/>
          <w:i/>
          <w:color w:val="000000"/>
          <w:spacing w:val="-1"/>
          <w:sz w:val="14"/>
          <w:szCs w:val="14"/>
        </w:rPr>
        <w:t>December</w:t>
      </w:r>
      <w:r w:rsidRPr="00DF2646">
        <w:rPr>
          <w:rFonts w:ascii="Arial" w:eastAsia="Arial" w:hAnsi="Arial" w:cs="Arial"/>
          <w:i/>
          <w:color w:val="000000"/>
          <w:spacing w:val="-1"/>
          <w:sz w:val="14"/>
          <w:szCs w:val="14"/>
        </w:rPr>
        <w:t xml:space="preserve"> 2025</w:t>
      </w:r>
    </w:p>
    <w:p w14:paraId="56E0A732" w14:textId="7ECD71F2" w:rsidR="009A3D7D" w:rsidRDefault="009A3D7D" w:rsidP="00576379">
      <w:pPr>
        <w:spacing w:after="0" w:line="160" w:lineRule="atLeast"/>
        <w:jc w:val="both"/>
        <w:rPr>
          <w:rFonts w:ascii="Arial" w:eastAsia="Arial" w:hAnsi="Arial" w:cs="Arial"/>
          <w:i/>
          <w:color w:val="000000"/>
          <w:spacing w:val="-1"/>
          <w:sz w:val="14"/>
          <w:szCs w:val="14"/>
        </w:rPr>
      </w:pPr>
      <w:r>
        <w:rPr>
          <w:rFonts w:ascii="Arial" w:eastAsia="Arial" w:hAnsi="Arial" w:cs="Arial"/>
          <w:i/>
          <w:color w:val="000000"/>
          <w:spacing w:val="-1"/>
          <w:sz w:val="14"/>
          <w:szCs w:val="14"/>
        </w:rPr>
        <w:t xml:space="preserve">DOI: </w:t>
      </w:r>
      <w:hyperlink r:id="rId7" w:history="1">
        <w:r w:rsidRPr="00D90AEB">
          <w:rPr>
            <w:rStyle w:val="Hyperlink"/>
            <w:rFonts w:ascii="Arial" w:eastAsia="Arial" w:hAnsi="Arial" w:cs="Arial"/>
            <w:i/>
            <w:spacing w:val="-1"/>
            <w:sz w:val="14"/>
            <w:szCs w:val="14"/>
          </w:rPr>
          <w:t>https://doi.org/10.5281/zenodo.17719183</w:t>
        </w:r>
      </w:hyperlink>
    </w:p>
    <w:p w14:paraId="3C4EDD99" w14:textId="7A382497" w:rsidR="00576379" w:rsidRPr="00FA13C3" w:rsidRDefault="00576379" w:rsidP="00576379">
      <w:pPr>
        <w:spacing w:after="0" w:line="160" w:lineRule="atLeast"/>
        <w:jc w:val="both"/>
        <w:rPr>
          <w:rFonts w:ascii="Arial" w:eastAsia="Arial" w:hAnsi="Arial" w:cs="Arial"/>
          <w:i/>
          <w:color w:val="000000"/>
          <w:spacing w:val="-1"/>
          <w:sz w:val="14"/>
          <w:szCs w:val="14"/>
        </w:rPr>
      </w:pP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p>
    <w:p w14:paraId="6D84F68E" w14:textId="77777777" w:rsidR="00576379" w:rsidRDefault="00576379" w:rsidP="00D06A2C">
      <w:pPr>
        <w:jc w:val="center"/>
        <w:rPr>
          <w:rFonts w:ascii="Times New Roman" w:hAnsi="Times New Roman" w:cs="Times New Roman"/>
          <w:b/>
          <w:bCs/>
          <w:sz w:val="28"/>
          <w:szCs w:val="24"/>
        </w:rPr>
      </w:pPr>
    </w:p>
    <w:p w14:paraId="05484ED4" w14:textId="2F1FAEE3" w:rsidR="00D06A2C" w:rsidRDefault="00D06A2C" w:rsidP="00D06A2C">
      <w:pPr>
        <w:jc w:val="center"/>
        <w:rPr>
          <w:rFonts w:ascii="Times New Roman" w:hAnsi="Times New Roman" w:cs="Times New Roman"/>
          <w:b/>
          <w:bCs/>
          <w:sz w:val="28"/>
          <w:szCs w:val="24"/>
        </w:rPr>
      </w:pPr>
      <w:r w:rsidRPr="00D06A2C">
        <w:rPr>
          <w:rFonts w:ascii="Times New Roman" w:hAnsi="Times New Roman" w:cs="Times New Roman"/>
          <w:b/>
          <w:bCs/>
          <w:sz w:val="28"/>
          <w:szCs w:val="24"/>
        </w:rPr>
        <w:t>Operational Excellence in TDS, ITR, and Financial Compliance: InstaFiling (Finzo Ventures Pvt. Ltd.)</w:t>
      </w:r>
    </w:p>
    <w:p w14:paraId="12A98399" w14:textId="77777777" w:rsidR="001A43A0" w:rsidRPr="001A43A0" w:rsidRDefault="001A43A0" w:rsidP="00D06A2C">
      <w:pPr>
        <w:jc w:val="center"/>
        <w:rPr>
          <w:rFonts w:ascii="Times New Roman" w:hAnsi="Times New Roman" w:cs="Times New Roman"/>
          <w:b/>
          <w:bCs/>
          <w:sz w:val="14"/>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4050"/>
      </w:tblGrid>
      <w:tr w:rsidR="001A43A0" w14:paraId="5364525C" w14:textId="77777777" w:rsidTr="001A43A0">
        <w:trPr>
          <w:jc w:val="center"/>
        </w:trPr>
        <w:tc>
          <w:tcPr>
            <w:tcW w:w="3865" w:type="dxa"/>
          </w:tcPr>
          <w:p w14:paraId="25F5BB43" w14:textId="77777777" w:rsidR="001A43A0" w:rsidRPr="001A43A0" w:rsidRDefault="001A43A0" w:rsidP="001A43A0">
            <w:pPr>
              <w:jc w:val="center"/>
              <w:rPr>
                <w:rFonts w:ascii="Arial" w:hAnsi="Arial" w:cs="Arial"/>
                <w:sz w:val="16"/>
                <w:szCs w:val="16"/>
              </w:rPr>
            </w:pPr>
            <w:r w:rsidRPr="001A43A0">
              <w:rPr>
                <w:rFonts w:ascii="Arial" w:hAnsi="Arial" w:cs="Arial"/>
                <w:b/>
                <w:bCs/>
                <w:sz w:val="16"/>
                <w:szCs w:val="16"/>
              </w:rPr>
              <w:t>Deeksharani</w:t>
            </w:r>
            <w:r w:rsidRPr="001A43A0">
              <w:rPr>
                <w:rFonts w:ascii="Arial" w:hAnsi="Arial" w:cs="Arial"/>
                <w:sz w:val="16"/>
                <w:szCs w:val="16"/>
              </w:rPr>
              <w:t xml:space="preserve"> </w:t>
            </w:r>
          </w:p>
          <w:p w14:paraId="34466E33" w14:textId="77777777" w:rsidR="001A43A0" w:rsidRDefault="001A43A0" w:rsidP="001A43A0">
            <w:pPr>
              <w:jc w:val="center"/>
              <w:rPr>
                <w:rFonts w:ascii="Arial" w:hAnsi="Arial" w:cs="Arial"/>
                <w:sz w:val="16"/>
                <w:szCs w:val="16"/>
              </w:rPr>
            </w:pPr>
            <w:r w:rsidRPr="001A43A0">
              <w:rPr>
                <w:rFonts w:ascii="Arial" w:hAnsi="Arial" w:cs="Arial"/>
                <w:sz w:val="16"/>
                <w:szCs w:val="16"/>
              </w:rPr>
              <w:t xml:space="preserve">Student, Faculty of Management Studies, </w:t>
            </w:r>
          </w:p>
          <w:p w14:paraId="190DC876" w14:textId="77777777" w:rsidR="001A43A0" w:rsidRDefault="001A43A0" w:rsidP="001A43A0">
            <w:pPr>
              <w:jc w:val="center"/>
              <w:rPr>
                <w:rFonts w:ascii="Arial" w:hAnsi="Arial" w:cs="Arial"/>
                <w:sz w:val="16"/>
                <w:szCs w:val="16"/>
              </w:rPr>
            </w:pPr>
            <w:r w:rsidRPr="001A43A0">
              <w:rPr>
                <w:rFonts w:ascii="Arial" w:hAnsi="Arial" w:cs="Arial"/>
                <w:sz w:val="16"/>
                <w:szCs w:val="16"/>
              </w:rPr>
              <w:t xml:space="preserve">CMS Business School, </w:t>
            </w:r>
          </w:p>
          <w:p w14:paraId="3B275E3C" w14:textId="0CFE7651" w:rsidR="001A43A0" w:rsidRPr="001A43A0" w:rsidRDefault="001A43A0" w:rsidP="001A43A0">
            <w:pPr>
              <w:jc w:val="center"/>
              <w:rPr>
                <w:rFonts w:ascii="Arial" w:hAnsi="Arial" w:cs="Arial"/>
                <w:sz w:val="16"/>
                <w:szCs w:val="16"/>
              </w:rPr>
            </w:pPr>
            <w:r w:rsidRPr="001A43A0">
              <w:rPr>
                <w:rFonts w:ascii="Arial" w:hAnsi="Arial" w:cs="Arial"/>
                <w:sz w:val="16"/>
                <w:szCs w:val="16"/>
              </w:rPr>
              <w:t>JAIN (Deemed-to-be University) Bangalore, India</w:t>
            </w:r>
          </w:p>
        </w:tc>
        <w:tc>
          <w:tcPr>
            <w:tcW w:w="4050" w:type="dxa"/>
          </w:tcPr>
          <w:p w14:paraId="5A5CDFAB" w14:textId="77777777" w:rsidR="001A43A0" w:rsidRPr="001A43A0" w:rsidRDefault="001A43A0" w:rsidP="001A43A0">
            <w:pPr>
              <w:jc w:val="center"/>
              <w:outlineLvl w:val="0"/>
              <w:rPr>
                <w:rFonts w:ascii="Arial" w:hAnsi="Arial" w:cs="Arial"/>
                <w:bCs/>
                <w:sz w:val="16"/>
                <w:szCs w:val="16"/>
              </w:rPr>
            </w:pPr>
            <w:r w:rsidRPr="001A43A0">
              <w:rPr>
                <w:rFonts w:ascii="Arial" w:hAnsi="Arial" w:cs="Arial"/>
                <w:b/>
                <w:bCs/>
                <w:sz w:val="16"/>
                <w:szCs w:val="16"/>
              </w:rPr>
              <w:t>Dr. Hanish Kukreja</w:t>
            </w:r>
            <w:r w:rsidRPr="001A43A0">
              <w:rPr>
                <w:rFonts w:ascii="Arial" w:hAnsi="Arial" w:cs="Arial"/>
                <w:bCs/>
                <w:sz w:val="16"/>
                <w:szCs w:val="16"/>
              </w:rPr>
              <w:t xml:space="preserve"> </w:t>
            </w:r>
          </w:p>
          <w:p w14:paraId="094916B6" w14:textId="77777777" w:rsidR="001A43A0" w:rsidRDefault="001A43A0" w:rsidP="001A43A0">
            <w:pPr>
              <w:jc w:val="center"/>
              <w:outlineLvl w:val="0"/>
              <w:rPr>
                <w:rFonts w:ascii="Arial" w:hAnsi="Arial" w:cs="Arial"/>
                <w:sz w:val="16"/>
                <w:szCs w:val="16"/>
              </w:rPr>
            </w:pPr>
            <w:r w:rsidRPr="001A43A0">
              <w:rPr>
                <w:rFonts w:ascii="Arial" w:hAnsi="Arial" w:cs="Arial"/>
                <w:bCs/>
                <w:sz w:val="16"/>
                <w:szCs w:val="16"/>
              </w:rPr>
              <w:t>Assistant</w:t>
            </w:r>
            <w:r w:rsidRPr="001A43A0">
              <w:rPr>
                <w:rFonts w:ascii="Arial" w:hAnsi="Arial" w:cs="Arial"/>
                <w:b/>
                <w:bCs/>
                <w:sz w:val="16"/>
                <w:szCs w:val="16"/>
              </w:rPr>
              <w:t xml:space="preserve"> </w:t>
            </w:r>
            <w:r w:rsidRPr="001A43A0">
              <w:rPr>
                <w:rFonts w:ascii="Arial" w:hAnsi="Arial" w:cs="Arial"/>
                <w:sz w:val="16"/>
                <w:szCs w:val="16"/>
              </w:rPr>
              <w:t>Professor, Faculty of Management Studies,</w:t>
            </w:r>
          </w:p>
          <w:p w14:paraId="37FD8461" w14:textId="40D011D6" w:rsidR="001A43A0" w:rsidRPr="001A43A0" w:rsidRDefault="001A43A0" w:rsidP="001A43A0">
            <w:pPr>
              <w:jc w:val="center"/>
              <w:outlineLvl w:val="0"/>
              <w:rPr>
                <w:rFonts w:ascii="Arial" w:hAnsi="Arial" w:cs="Arial"/>
                <w:sz w:val="16"/>
                <w:szCs w:val="16"/>
              </w:rPr>
            </w:pPr>
            <w:r w:rsidRPr="001A43A0">
              <w:rPr>
                <w:rFonts w:ascii="Arial" w:hAnsi="Arial" w:cs="Arial"/>
                <w:sz w:val="16"/>
                <w:szCs w:val="16"/>
              </w:rPr>
              <w:t xml:space="preserve"> CMS Business School, </w:t>
            </w:r>
          </w:p>
          <w:p w14:paraId="7056F790" w14:textId="4505E07B" w:rsidR="001A43A0" w:rsidRPr="001A43A0" w:rsidRDefault="001A43A0" w:rsidP="001A43A0">
            <w:pPr>
              <w:jc w:val="center"/>
              <w:outlineLvl w:val="0"/>
              <w:rPr>
                <w:rFonts w:ascii="Arial" w:hAnsi="Arial" w:cs="Arial"/>
                <w:sz w:val="16"/>
                <w:szCs w:val="16"/>
              </w:rPr>
            </w:pPr>
            <w:r w:rsidRPr="001A43A0">
              <w:rPr>
                <w:rFonts w:ascii="Arial" w:hAnsi="Arial" w:cs="Arial"/>
                <w:sz w:val="16"/>
                <w:szCs w:val="16"/>
              </w:rPr>
              <w:t xml:space="preserve">JAIN (Deemed-to-be University) Bangalore, India. </w:t>
            </w:r>
          </w:p>
        </w:tc>
      </w:tr>
    </w:tbl>
    <w:p w14:paraId="3A931EF5" w14:textId="77777777" w:rsidR="001A43A0" w:rsidRPr="00D06A2C" w:rsidRDefault="001A43A0" w:rsidP="00D06A2C">
      <w:pPr>
        <w:jc w:val="center"/>
        <w:rPr>
          <w:rFonts w:ascii="Times New Roman" w:hAnsi="Times New Roman" w:cs="Times New Roman"/>
          <w:b/>
          <w:bCs/>
          <w:sz w:val="28"/>
          <w:szCs w:val="24"/>
        </w:rPr>
      </w:pPr>
    </w:p>
    <w:p w14:paraId="6028D71E" w14:textId="049F81DC" w:rsidR="00D06A2C" w:rsidRPr="001A43A0" w:rsidRDefault="00D06A2C" w:rsidP="001A43A0">
      <w:pPr>
        <w:spacing w:after="0" w:line="240" w:lineRule="auto"/>
        <w:ind w:left="720" w:right="386"/>
        <w:jc w:val="center"/>
        <w:rPr>
          <w:rFonts w:ascii="Arial" w:hAnsi="Arial" w:cs="Arial"/>
          <w:b/>
          <w:bCs/>
          <w:i/>
          <w:iCs/>
          <w:sz w:val="18"/>
          <w:szCs w:val="18"/>
        </w:rPr>
      </w:pPr>
      <w:r w:rsidRPr="001A43A0">
        <w:rPr>
          <w:rFonts w:ascii="Arial" w:hAnsi="Arial" w:cs="Arial"/>
          <w:b/>
          <w:bCs/>
          <w:i/>
          <w:iCs/>
          <w:sz w:val="18"/>
          <w:szCs w:val="18"/>
        </w:rPr>
        <w:t>Abstract</w:t>
      </w:r>
    </w:p>
    <w:p w14:paraId="61071049" w14:textId="77777777" w:rsidR="001A43A0" w:rsidRDefault="001A43A0" w:rsidP="001A43A0">
      <w:pPr>
        <w:spacing w:after="0" w:line="240" w:lineRule="auto"/>
        <w:ind w:left="720" w:right="386"/>
        <w:jc w:val="both"/>
        <w:rPr>
          <w:rFonts w:ascii="Arial" w:hAnsi="Arial" w:cs="Arial"/>
          <w:sz w:val="18"/>
          <w:szCs w:val="18"/>
        </w:rPr>
      </w:pPr>
    </w:p>
    <w:p w14:paraId="19D175D7" w14:textId="39A744CC" w:rsidR="00D06A2C" w:rsidRDefault="00D06A2C" w:rsidP="001A43A0">
      <w:pPr>
        <w:spacing w:after="0" w:line="240" w:lineRule="auto"/>
        <w:ind w:left="720" w:right="386"/>
        <w:jc w:val="both"/>
        <w:rPr>
          <w:rFonts w:ascii="Arial" w:hAnsi="Arial" w:cs="Arial"/>
          <w:sz w:val="18"/>
          <w:szCs w:val="18"/>
        </w:rPr>
      </w:pPr>
      <w:r w:rsidRPr="001A43A0">
        <w:rPr>
          <w:rFonts w:ascii="Arial" w:hAnsi="Arial" w:cs="Arial"/>
          <w:sz w:val="18"/>
          <w:szCs w:val="18"/>
        </w:rPr>
        <w:t>Compliance firms in India face volatile workloads, evolving regulations, and frequent gaps in client data submission. InstaFiling, a cloud-enabled compliance service provider for MSMEs and startups, struggled with delayed client inputs, mismatches between records and 26AS statements, and manual classification of bank statements. Manual reconciliations and dispersed evidence increased cycle times across TDS, ITR, and financial statement preparation, impacting audit readiness and client satisfaction. Drawing on internship observations, this case presents a control-first operating model featuring standardized client checklists with reminder schedules, AI-assisted reconciliations, maker-checker review protocols, and a KPI dashboard for monitoring variance aging, rework rates, and on-time filings. The model aligns with guidance from the CBDT, GSTN, and ICAI, focusing on lifting accuracy and timeliness without sacrificing confidentiality or client experience. The study stresses the importance of process standardization, technological integration, and workforce training in scaling compliance services amid a dynamic regulatory landscape. Limitations related to implementation fidelity and data quality are acknowledged, with findings intended to be triangulated in local operating contexts.</w:t>
      </w:r>
    </w:p>
    <w:p w14:paraId="10ECF278" w14:textId="77777777" w:rsidR="001A43A0" w:rsidRPr="001A43A0" w:rsidRDefault="001A43A0" w:rsidP="001A43A0">
      <w:pPr>
        <w:spacing w:after="0" w:line="240" w:lineRule="auto"/>
        <w:ind w:left="720" w:right="386"/>
        <w:jc w:val="both"/>
        <w:rPr>
          <w:rFonts w:ascii="Arial" w:hAnsi="Arial" w:cs="Arial"/>
          <w:sz w:val="18"/>
          <w:szCs w:val="18"/>
        </w:rPr>
      </w:pPr>
    </w:p>
    <w:p w14:paraId="13A267B7" w14:textId="21655737" w:rsidR="00D06A2C" w:rsidRDefault="00D06A2C" w:rsidP="001A43A0">
      <w:pPr>
        <w:spacing w:after="0" w:line="240" w:lineRule="auto"/>
        <w:ind w:left="720" w:right="386"/>
        <w:jc w:val="both"/>
        <w:rPr>
          <w:rFonts w:ascii="Arial" w:hAnsi="Arial" w:cs="Arial"/>
          <w:sz w:val="18"/>
          <w:szCs w:val="18"/>
        </w:rPr>
      </w:pPr>
      <w:r w:rsidRPr="001A43A0">
        <w:rPr>
          <w:rFonts w:ascii="Arial" w:hAnsi="Arial" w:cs="Arial"/>
          <w:b/>
          <w:bCs/>
          <w:sz w:val="18"/>
          <w:szCs w:val="18"/>
        </w:rPr>
        <w:t>Keywords:</w:t>
      </w:r>
      <w:r w:rsidRPr="001A43A0">
        <w:rPr>
          <w:rFonts w:ascii="Arial" w:hAnsi="Arial" w:cs="Arial"/>
          <w:sz w:val="18"/>
          <w:szCs w:val="18"/>
        </w:rPr>
        <w:t xml:space="preserve"> TDS, ITR, GST, reconciliation, maker-checker, client data, operating model</w:t>
      </w:r>
      <w:r w:rsidR="009A3D7D">
        <w:rPr>
          <w:rFonts w:ascii="Arial" w:hAnsi="Arial" w:cs="Arial"/>
          <w:sz w:val="18"/>
          <w:szCs w:val="18"/>
        </w:rPr>
        <w:t>.</w:t>
      </w:r>
    </w:p>
    <w:p w14:paraId="4C10C01F" w14:textId="77777777" w:rsidR="001A43A0" w:rsidRPr="001A43A0" w:rsidRDefault="001A43A0" w:rsidP="001A43A0">
      <w:pPr>
        <w:spacing w:after="0" w:line="240" w:lineRule="auto"/>
        <w:jc w:val="both"/>
        <w:rPr>
          <w:rFonts w:ascii="Arial" w:hAnsi="Arial" w:cs="Arial"/>
          <w:sz w:val="18"/>
          <w:szCs w:val="18"/>
        </w:rPr>
      </w:pPr>
    </w:p>
    <w:p w14:paraId="6BC9B49E" w14:textId="77777777" w:rsidR="001A43A0" w:rsidRDefault="001A43A0" w:rsidP="001A43A0">
      <w:pPr>
        <w:spacing w:after="120" w:line="276" w:lineRule="auto"/>
        <w:jc w:val="both"/>
        <w:rPr>
          <w:rFonts w:ascii="Arial" w:hAnsi="Arial" w:cs="Arial"/>
          <w:b/>
          <w:bCs/>
        </w:rPr>
        <w:sectPr w:rsidR="001A43A0" w:rsidSect="004A6B8C">
          <w:headerReference w:type="even" r:id="rId8"/>
          <w:headerReference w:type="default" r:id="rId9"/>
          <w:pgSz w:w="11906" w:h="16838" w:code="9"/>
          <w:pgMar w:top="1440" w:right="1440" w:bottom="1440" w:left="1440" w:header="1008" w:footer="720" w:gutter="0"/>
          <w:pgNumType w:start="12"/>
          <w:cols w:space="708"/>
          <w:docGrid w:linePitch="360"/>
        </w:sectPr>
      </w:pPr>
    </w:p>
    <w:p w14:paraId="3D0B9949" w14:textId="77777777" w:rsidR="001A43A0" w:rsidRDefault="001A43A0" w:rsidP="001A43A0">
      <w:pPr>
        <w:spacing w:after="120" w:line="276" w:lineRule="auto"/>
        <w:jc w:val="center"/>
        <w:rPr>
          <w:rFonts w:ascii="Arial" w:hAnsi="Arial" w:cs="Arial"/>
          <w:b/>
          <w:bCs/>
          <w:caps/>
        </w:rPr>
      </w:pPr>
    </w:p>
    <w:p w14:paraId="58718A35" w14:textId="3422FB33" w:rsidR="00D06A2C" w:rsidRDefault="00D06A2C" w:rsidP="001A43A0">
      <w:pPr>
        <w:spacing w:after="120" w:line="276" w:lineRule="auto"/>
        <w:jc w:val="center"/>
        <w:rPr>
          <w:rFonts w:ascii="Arial" w:hAnsi="Arial" w:cs="Arial"/>
          <w:b/>
          <w:bCs/>
          <w:caps/>
        </w:rPr>
      </w:pPr>
      <w:r w:rsidRPr="001A43A0">
        <w:rPr>
          <w:rFonts w:ascii="Arial" w:hAnsi="Arial" w:cs="Arial"/>
          <w:b/>
          <w:bCs/>
          <w:caps/>
        </w:rPr>
        <w:t>Case Introduction</w:t>
      </w:r>
    </w:p>
    <w:p w14:paraId="206936FC" w14:textId="77777777" w:rsidR="001A43A0" w:rsidRPr="001A43A0" w:rsidRDefault="001A43A0" w:rsidP="001A43A0">
      <w:pPr>
        <w:spacing w:after="120" w:line="276" w:lineRule="auto"/>
        <w:jc w:val="center"/>
        <w:rPr>
          <w:rFonts w:ascii="Arial" w:hAnsi="Arial" w:cs="Arial"/>
          <w:b/>
          <w:bCs/>
          <w:caps/>
          <w:sz w:val="14"/>
          <w:szCs w:val="14"/>
        </w:rPr>
      </w:pPr>
    </w:p>
    <w:p w14:paraId="16CFEBF9" w14:textId="77777777" w:rsidR="00D06A2C" w:rsidRPr="001A43A0" w:rsidRDefault="00D06A2C" w:rsidP="001A43A0">
      <w:pPr>
        <w:spacing w:after="120" w:line="276" w:lineRule="auto"/>
        <w:ind w:firstLine="720"/>
        <w:jc w:val="both"/>
        <w:rPr>
          <w:rFonts w:ascii="Arial" w:hAnsi="Arial" w:cs="Arial"/>
        </w:rPr>
      </w:pPr>
      <w:r w:rsidRPr="001A43A0">
        <w:rPr>
          <w:rFonts w:ascii="Arial" w:hAnsi="Arial" w:cs="Arial"/>
        </w:rPr>
        <w:t>InstaFiling serves MSME and startup clients through cloud-based technology to manage GST filings, TDS/TCS compliance, Income Tax Returns, and preparation of financial statements. Despite technological adoption, the company confronted significant operational challenges emerging from client-side delays in submitting required documents and data mismatches between internal records and authoritative sources such as Form 26AS and AIS reports.</w:t>
      </w:r>
    </w:p>
    <w:p w14:paraId="419C6555" w14:textId="77777777" w:rsidR="00D06A2C" w:rsidRPr="001A43A0" w:rsidRDefault="00D06A2C" w:rsidP="001A43A0">
      <w:pPr>
        <w:spacing w:after="120" w:line="276" w:lineRule="auto"/>
        <w:ind w:firstLine="720"/>
        <w:jc w:val="both"/>
        <w:rPr>
          <w:rFonts w:ascii="Arial" w:hAnsi="Arial" w:cs="Arial"/>
        </w:rPr>
      </w:pPr>
      <w:r w:rsidRPr="001A43A0">
        <w:rPr>
          <w:rFonts w:ascii="Arial" w:hAnsi="Arial" w:cs="Arial"/>
        </w:rPr>
        <w:t xml:space="preserve">Manual processes predominated in tracking, classifying, and reconciling bank statements and TDS records, leading to extended turnaround times and increased </w:t>
      </w:r>
      <w:r w:rsidRPr="001A43A0">
        <w:rPr>
          <w:rFonts w:ascii="Arial" w:hAnsi="Arial" w:cs="Arial"/>
        </w:rPr>
        <w:t>risk of audit queries or penalties due to mistakes or delayed compliance. The internship identified bottlenecks centered around scattered evidence management, inconsistent reconciliation standards, and reactive task execution.</w:t>
      </w:r>
    </w:p>
    <w:p w14:paraId="27E8385C" w14:textId="77777777" w:rsidR="00D06A2C" w:rsidRPr="001A43A0" w:rsidRDefault="00D06A2C" w:rsidP="001A43A0">
      <w:pPr>
        <w:spacing w:after="120" w:line="276" w:lineRule="auto"/>
        <w:ind w:firstLine="720"/>
        <w:jc w:val="both"/>
        <w:rPr>
          <w:rFonts w:ascii="Arial" w:hAnsi="Arial" w:cs="Arial"/>
        </w:rPr>
      </w:pPr>
      <w:r w:rsidRPr="001A43A0">
        <w:rPr>
          <w:rFonts w:ascii="Arial" w:hAnsi="Arial" w:cs="Arial"/>
        </w:rPr>
        <w:t xml:space="preserve">To address these issues, standardized client data intake checklists were designed supported by systematic automatic reminders. AI-driven reconciliation engines were piloted to match records proactively. Maker-checker review regimes ensured layered validation, while management dashboards provided real-time visibility on pending tasks and compliance health. Crucially, a culture of proactive client communication and staff training emerged to strengthen adoption and reduce errors. The case exemplifies a shift from fragmented crisis management to scalable operational discipline in digital </w:t>
      </w:r>
      <w:r w:rsidRPr="001A43A0">
        <w:rPr>
          <w:rFonts w:ascii="Arial" w:hAnsi="Arial" w:cs="Arial"/>
        </w:rPr>
        <w:lastRenderedPageBreak/>
        <w:t>compliance services tailored for evolving regulatory frameworks.</w:t>
      </w:r>
    </w:p>
    <w:p w14:paraId="12C6EA08" w14:textId="77777777" w:rsidR="00D06A2C" w:rsidRPr="002A3256" w:rsidRDefault="00D06A2C" w:rsidP="002A3256">
      <w:pPr>
        <w:spacing w:after="120" w:line="276" w:lineRule="auto"/>
        <w:jc w:val="center"/>
        <w:rPr>
          <w:rFonts w:ascii="Arial" w:hAnsi="Arial" w:cs="Arial"/>
          <w:b/>
          <w:bCs/>
          <w:caps/>
        </w:rPr>
      </w:pPr>
      <w:r w:rsidRPr="002A3256">
        <w:rPr>
          <w:rFonts w:ascii="Arial" w:hAnsi="Arial" w:cs="Arial"/>
          <w:b/>
          <w:bCs/>
          <w:caps/>
        </w:rPr>
        <w:t>About the Industry</w:t>
      </w:r>
    </w:p>
    <w:p w14:paraId="740CE8C1" w14:textId="77777777" w:rsidR="00D06A2C" w:rsidRPr="001A43A0" w:rsidRDefault="00D06A2C" w:rsidP="001A43A0">
      <w:pPr>
        <w:spacing w:after="120" w:line="276" w:lineRule="auto"/>
        <w:ind w:firstLine="720"/>
        <w:jc w:val="both"/>
        <w:rPr>
          <w:rFonts w:ascii="Arial" w:hAnsi="Arial" w:cs="Arial"/>
        </w:rPr>
      </w:pPr>
      <w:r w:rsidRPr="001A43A0">
        <w:rPr>
          <w:rFonts w:ascii="Arial" w:hAnsi="Arial" w:cs="Arial"/>
        </w:rPr>
        <w:t>India’s compliance ecosystem is rapidly evolving under the influence of GST implementation, mandatory e-invoicing, faceless tax assessments, and data-driven regulatory oversight. Compliance service providers operate under tight windows and frequent tax regulation updates, requiring timely and accurate reporting with comprehensive cross-referencing of multi-system data sources including GSTN, Income Tax AIS, and third-party accounting ledgers.</w:t>
      </w:r>
    </w:p>
    <w:p w14:paraId="2E4A28A1" w14:textId="77777777" w:rsidR="00D06A2C" w:rsidRPr="001A43A0" w:rsidRDefault="00D06A2C" w:rsidP="001A43A0">
      <w:pPr>
        <w:spacing w:after="120" w:line="276" w:lineRule="auto"/>
        <w:ind w:firstLine="720"/>
        <w:jc w:val="both"/>
        <w:rPr>
          <w:rFonts w:ascii="Arial" w:hAnsi="Arial" w:cs="Arial"/>
        </w:rPr>
      </w:pPr>
      <w:r w:rsidRPr="001A43A0">
        <w:rPr>
          <w:rFonts w:ascii="Arial" w:hAnsi="Arial" w:cs="Arial"/>
        </w:rPr>
        <w:t>Professional entities like ICAI, CBDT, and GSTN issue continuous guidance emphasizing contemporaneous documentation, secure data handling, and role-based access controls to protect confidentiality and audit readiness. Despite automations introduced in tax portals, client-side delays, data inconsistencies, and manual reconciliations remain major operational challenges, especially for MSME clients less digitally mature.</w:t>
      </w:r>
    </w:p>
    <w:p w14:paraId="6E056D58" w14:textId="77777777" w:rsidR="00D06A2C" w:rsidRPr="001A43A0" w:rsidRDefault="00D06A2C" w:rsidP="001A43A0">
      <w:pPr>
        <w:spacing w:after="120" w:line="276" w:lineRule="auto"/>
        <w:ind w:firstLine="720"/>
        <w:jc w:val="both"/>
        <w:rPr>
          <w:rFonts w:ascii="Arial" w:hAnsi="Arial" w:cs="Arial"/>
        </w:rPr>
      </w:pPr>
      <w:r w:rsidRPr="001A43A0">
        <w:rPr>
          <w:rFonts w:ascii="Arial" w:hAnsi="Arial" w:cs="Arial"/>
        </w:rPr>
        <w:t>Research highlights the strategic value of process automation, AI-assisted reconciliation, and client education as critical enablers for scaling high-volume digital compliance. Yet, uneven technology penetration and evolving regulatory complexity necessitate a hybrid approach combining advanced tools with procedural rigor and knowledgeable workforce capabilities. This landscape shapes the policies and operational models firms must develop to maintain compliance agility while minimizing operational risk.</w:t>
      </w:r>
    </w:p>
    <w:p w14:paraId="6140C666" w14:textId="77777777" w:rsidR="00D06A2C" w:rsidRPr="001A43A0" w:rsidRDefault="00D06A2C" w:rsidP="001A43A0">
      <w:pPr>
        <w:spacing w:after="120" w:line="276" w:lineRule="auto"/>
        <w:jc w:val="both"/>
        <w:rPr>
          <w:rFonts w:ascii="Arial" w:hAnsi="Arial" w:cs="Arial"/>
          <w:b/>
          <w:bCs/>
        </w:rPr>
      </w:pPr>
      <w:r w:rsidRPr="001A43A0">
        <w:rPr>
          <w:rFonts w:ascii="Arial" w:hAnsi="Arial" w:cs="Arial"/>
          <w:b/>
          <w:bCs/>
        </w:rPr>
        <w:t>Problems Faced by the Industry with Reviews</w:t>
      </w:r>
    </w:p>
    <w:p w14:paraId="0D081398" w14:textId="77777777" w:rsidR="00D06A2C" w:rsidRPr="001A43A0" w:rsidRDefault="00D06A2C" w:rsidP="001A43A0">
      <w:pPr>
        <w:spacing w:after="120" w:line="276" w:lineRule="auto"/>
        <w:ind w:firstLine="720"/>
        <w:jc w:val="both"/>
        <w:rPr>
          <w:rFonts w:ascii="Arial" w:hAnsi="Arial" w:cs="Arial"/>
        </w:rPr>
      </w:pPr>
      <w:r w:rsidRPr="001A43A0">
        <w:rPr>
          <w:rFonts w:ascii="Arial" w:hAnsi="Arial" w:cs="Arial"/>
        </w:rPr>
        <w:t xml:space="preserve">The compliance services industry contends with persistent data quality issues, frequent tax provisions updates, and complex multi-jurisdictional </w:t>
      </w:r>
      <w:r w:rsidRPr="001A43A0">
        <w:rPr>
          <w:rFonts w:ascii="Arial" w:hAnsi="Arial" w:cs="Arial"/>
        </w:rPr>
        <w:t>compliance requirements. Manual reconciliations introduce errors and increase cycle time, fueling exposure to penalties and audit disputes. Client data delays and non-standardized submission formats exacerbate inefficiencies.</w:t>
      </w:r>
    </w:p>
    <w:p w14:paraId="09E46E36" w14:textId="77777777" w:rsidR="00D06A2C" w:rsidRPr="001A43A0" w:rsidRDefault="00D06A2C" w:rsidP="001A43A0">
      <w:pPr>
        <w:spacing w:after="120" w:line="276" w:lineRule="auto"/>
        <w:ind w:firstLine="360"/>
        <w:jc w:val="both"/>
        <w:rPr>
          <w:rFonts w:ascii="Arial" w:hAnsi="Arial" w:cs="Arial"/>
        </w:rPr>
      </w:pPr>
      <w:r w:rsidRPr="001A43A0">
        <w:rPr>
          <w:rFonts w:ascii="Arial" w:hAnsi="Arial" w:cs="Arial"/>
        </w:rPr>
        <w:t>Key literature underscores these challenges:</w:t>
      </w:r>
    </w:p>
    <w:p w14:paraId="1B64C5BE" w14:textId="77777777" w:rsidR="00D06A2C" w:rsidRPr="001A43A0" w:rsidRDefault="00D06A2C" w:rsidP="001A43A0">
      <w:pPr>
        <w:numPr>
          <w:ilvl w:val="0"/>
          <w:numId w:val="1"/>
        </w:numPr>
        <w:tabs>
          <w:tab w:val="clear" w:pos="720"/>
        </w:tabs>
        <w:spacing w:after="120" w:line="276" w:lineRule="auto"/>
        <w:ind w:left="270"/>
        <w:jc w:val="both"/>
        <w:rPr>
          <w:rFonts w:ascii="Arial" w:hAnsi="Arial" w:cs="Arial"/>
        </w:rPr>
      </w:pPr>
      <w:r w:rsidRPr="001A43A0">
        <w:rPr>
          <w:rFonts w:ascii="Arial" w:hAnsi="Arial" w:cs="Arial"/>
        </w:rPr>
        <w:t>Central Board of Direct Taxes (2023) highlights reconciliation complexities between Form 26AS and taxpayer records as a major source of disputes.</w:t>
      </w:r>
    </w:p>
    <w:p w14:paraId="0402BF60" w14:textId="77777777" w:rsidR="00D06A2C" w:rsidRPr="001A43A0" w:rsidRDefault="00D06A2C" w:rsidP="001A43A0">
      <w:pPr>
        <w:numPr>
          <w:ilvl w:val="0"/>
          <w:numId w:val="1"/>
        </w:numPr>
        <w:tabs>
          <w:tab w:val="clear" w:pos="720"/>
        </w:tabs>
        <w:spacing w:after="120" w:line="276" w:lineRule="auto"/>
        <w:ind w:left="270"/>
        <w:jc w:val="both"/>
        <w:rPr>
          <w:rFonts w:ascii="Arial" w:hAnsi="Arial" w:cs="Arial"/>
        </w:rPr>
      </w:pPr>
      <w:r w:rsidRPr="001A43A0">
        <w:rPr>
          <w:rFonts w:ascii="Arial" w:hAnsi="Arial" w:cs="Arial"/>
        </w:rPr>
        <w:t>Goods and Services Tax Network (2024) advocates automated tools and standardized reporting to minimize processing delays and errors.</w:t>
      </w:r>
    </w:p>
    <w:p w14:paraId="787485F0" w14:textId="77777777" w:rsidR="00D06A2C" w:rsidRPr="001A43A0" w:rsidRDefault="00D06A2C" w:rsidP="001A43A0">
      <w:pPr>
        <w:numPr>
          <w:ilvl w:val="0"/>
          <w:numId w:val="1"/>
        </w:numPr>
        <w:tabs>
          <w:tab w:val="clear" w:pos="720"/>
        </w:tabs>
        <w:spacing w:after="120" w:line="276" w:lineRule="auto"/>
        <w:ind w:left="270"/>
        <w:jc w:val="both"/>
        <w:rPr>
          <w:rFonts w:ascii="Arial" w:hAnsi="Arial" w:cs="Arial"/>
        </w:rPr>
      </w:pPr>
      <w:r w:rsidRPr="001A43A0">
        <w:rPr>
          <w:rFonts w:ascii="Arial" w:hAnsi="Arial" w:cs="Arial"/>
        </w:rPr>
        <w:t>Institute of Chartered Accountants of India (2023) emphasizes the importance of layered approval processes and secure evidence capture for compliance integrity.</w:t>
      </w:r>
    </w:p>
    <w:p w14:paraId="29432DA4" w14:textId="77777777" w:rsidR="00D06A2C" w:rsidRPr="001A43A0" w:rsidRDefault="00D06A2C" w:rsidP="001A43A0">
      <w:pPr>
        <w:numPr>
          <w:ilvl w:val="0"/>
          <w:numId w:val="1"/>
        </w:numPr>
        <w:tabs>
          <w:tab w:val="clear" w:pos="720"/>
        </w:tabs>
        <w:spacing w:after="120" w:line="276" w:lineRule="auto"/>
        <w:ind w:left="270"/>
        <w:jc w:val="both"/>
        <w:rPr>
          <w:rFonts w:ascii="Arial" w:hAnsi="Arial" w:cs="Arial"/>
        </w:rPr>
      </w:pPr>
      <w:r w:rsidRPr="001A43A0">
        <w:rPr>
          <w:rFonts w:ascii="Arial" w:hAnsi="Arial" w:cs="Arial"/>
        </w:rPr>
        <w:t>PwC India (2022) suggests that advanced AI and analytics can reduce reconciliation effort while improving anomaly detection.</w:t>
      </w:r>
    </w:p>
    <w:p w14:paraId="113AC453" w14:textId="77777777" w:rsidR="00D06A2C" w:rsidRPr="001A43A0" w:rsidRDefault="00D06A2C" w:rsidP="001A43A0">
      <w:pPr>
        <w:numPr>
          <w:ilvl w:val="0"/>
          <w:numId w:val="1"/>
        </w:numPr>
        <w:tabs>
          <w:tab w:val="clear" w:pos="720"/>
        </w:tabs>
        <w:spacing w:after="120" w:line="276" w:lineRule="auto"/>
        <w:ind w:left="270"/>
        <w:jc w:val="both"/>
        <w:rPr>
          <w:rFonts w:ascii="Arial" w:hAnsi="Arial" w:cs="Arial"/>
        </w:rPr>
      </w:pPr>
      <w:r w:rsidRPr="001A43A0">
        <w:rPr>
          <w:rFonts w:ascii="Arial" w:hAnsi="Arial" w:cs="Arial"/>
        </w:rPr>
        <w:t>Academic research (Deeksharani, 2025) reinforces the necessity for workflow automation partnered with proactive client education and staff training programs.</w:t>
      </w:r>
    </w:p>
    <w:p w14:paraId="168A4C2B" w14:textId="77777777" w:rsidR="00D06A2C" w:rsidRPr="001A43A0" w:rsidRDefault="00D06A2C" w:rsidP="001A43A0">
      <w:pPr>
        <w:spacing w:after="120" w:line="276" w:lineRule="auto"/>
        <w:ind w:firstLine="720"/>
        <w:jc w:val="both"/>
        <w:rPr>
          <w:rFonts w:ascii="Arial" w:hAnsi="Arial" w:cs="Arial"/>
        </w:rPr>
      </w:pPr>
      <w:r w:rsidRPr="001A43A0">
        <w:rPr>
          <w:rFonts w:ascii="Arial" w:hAnsi="Arial" w:cs="Arial"/>
        </w:rPr>
        <w:t>These reviews highlight that addressing reconciliation, automation, and client engagement holistically is essential to transforming compliance operations.</w:t>
      </w:r>
    </w:p>
    <w:p w14:paraId="5298C0F2" w14:textId="77777777" w:rsidR="00D06A2C" w:rsidRPr="002A3256" w:rsidRDefault="00D06A2C" w:rsidP="002A3256">
      <w:pPr>
        <w:spacing w:after="120" w:line="276" w:lineRule="auto"/>
        <w:jc w:val="center"/>
        <w:rPr>
          <w:rFonts w:ascii="Arial" w:hAnsi="Arial" w:cs="Arial"/>
          <w:b/>
          <w:bCs/>
          <w:caps/>
        </w:rPr>
      </w:pPr>
      <w:r w:rsidRPr="002A3256">
        <w:rPr>
          <w:rFonts w:ascii="Arial" w:hAnsi="Arial" w:cs="Arial"/>
          <w:b/>
          <w:bCs/>
          <w:caps/>
        </w:rPr>
        <w:t>About the Company</w:t>
      </w:r>
    </w:p>
    <w:p w14:paraId="492EEE03" w14:textId="45EEF322" w:rsidR="00D06A2C" w:rsidRPr="001A43A0" w:rsidRDefault="00D06A2C" w:rsidP="001A43A0">
      <w:pPr>
        <w:spacing w:after="120" w:line="276" w:lineRule="auto"/>
        <w:ind w:firstLine="720"/>
        <w:jc w:val="both"/>
        <w:rPr>
          <w:rFonts w:ascii="Arial" w:hAnsi="Arial" w:cs="Arial"/>
        </w:rPr>
      </w:pPr>
      <w:r w:rsidRPr="001A43A0">
        <w:rPr>
          <w:rFonts w:ascii="Arial" w:hAnsi="Arial" w:cs="Arial"/>
        </w:rPr>
        <w:t>Insta</w:t>
      </w:r>
      <w:r w:rsidR="002A3256">
        <w:rPr>
          <w:rFonts w:ascii="Arial" w:hAnsi="Arial" w:cs="Arial"/>
        </w:rPr>
        <w:t xml:space="preserve"> </w:t>
      </w:r>
      <w:r w:rsidRPr="001A43A0">
        <w:rPr>
          <w:rFonts w:ascii="Arial" w:hAnsi="Arial" w:cs="Arial"/>
        </w:rPr>
        <w:t xml:space="preserve">Filing (Finzo Ventures Pvt. Ltd.) offers tax and compliance services enabled by Tax Cloud technology integrated with Tally Prime and online regulatory portals. Its client base primarily comprises MSMEs and startups facing compliance complexity with limited resources. Despite digital adoption, growth brought new challenges: recurring client </w:t>
      </w:r>
      <w:r w:rsidRPr="001A43A0">
        <w:rPr>
          <w:rFonts w:ascii="Arial" w:hAnsi="Arial" w:cs="Arial"/>
        </w:rPr>
        <w:lastRenderedPageBreak/>
        <w:t>data gaps, late submissions, inconsistent reconciliation approaches, and fragmented evidence repositories.</w:t>
      </w:r>
    </w:p>
    <w:p w14:paraId="286DCAB9" w14:textId="77777777" w:rsidR="00D06A2C" w:rsidRPr="001A43A0" w:rsidRDefault="00D06A2C" w:rsidP="001A43A0">
      <w:pPr>
        <w:spacing w:after="120" w:line="276" w:lineRule="auto"/>
        <w:ind w:firstLine="720"/>
        <w:jc w:val="both"/>
        <w:rPr>
          <w:rFonts w:ascii="Arial" w:hAnsi="Arial" w:cs="Arial"/>
        </w:rPr>
      </w:pPr>
      <w:r w:rsidRPr="001A43A0">
        <w:rPr>
          <w:rFonts w:ascii="Arial" w:hAnsi="Arial" w:cs="Arial"/>
        </w:rPr>
        <w:t>The firm operates across multiple compliance verticals including GST returns, TDS obligations, Income Tax Return filings, and financial statement preparation. Manual bank statement classifications and scattered client inputs caused variable turnaround and elevated error risk. Internship experience focused on codifying operating procedures, automating data flows, and instituting layered maker-checker reviews with secure audit trails and role-based access to evidence.</w:t>
      </w:r>
    </w:p>
    <w:p w14:paraId="1706E8B0" w14:textId="77777777" w:rsidR="00D06A2C" w:rsidRPr="001A43A0" w:rsidRDefault="00D06A2C" w:rsidP="001A43A0">
      <w:pPr>
        <w:spacing w:after="120" w:line="276" w:lineRule="auto"/>
        <w:ind w:firstLine="720"/>
        <w:jc w:val="both"/>
        <w:rPr>
          <w:rFonts w:ascii="Arial" w:hAnsi="Arial" w:cs="Arial"/>
        </w:rPr>
      </w:pPr>
      <w:r w:rsidRPr="001A43A0">
        <w:rPr>
          <w:rFonts w:ascii="Arial" w:hAnsi="Arial" w:cs="Arial"/>
        </w:rPr>
        <w:t>Management recognized the need to standardize processes, enforce batch control cadences, and deploy AI-assisted reconciliation engines for scalable, accurate compliance, while preserving client experience and confidentiality.</w:t>
      </w:r>
    </w:p>
    <w:p w14:paraId="7F19545E" w14:textId="77777777" w:rsidR="00D06A2C" w:rsidRPr="001A43A0" w:rsidRDefault="00D06A2C" w:rsidP="001A43A0">
      <w:pPr>
        <w:spacing w:after="120" w:line="276" w:lineRule="auto"/>
        <w:jc w:val="both"/>
        <w:rPr>
          <w:rFonts w:ascii="Arial" w:hAnsi="Arial" w:cs="Arial"/>
          <w:b/>
          <w:bCs/>
        </w:rPr>
      </w:pPr>
      <w:r w:rsidRPr="001A43A0">
        <w:rPr>
          <w:rFonts w:ascii="Arial" w:hAnsi="Arial" w:cs="Arial"/>
          <w:b/>
          <w:bCs/>
        </w:rPr>
        <w:t>Problems Faced by the Company with Reviews</w:t>
      </w:r>
    </w:p>
    <w:p w14:paraId="09C68F57" w14:textId="77777777" w:rsidR="00D06A2C" w:rsidRPr="001A43A0" w:rsidRDefault="00D06A2C" w:rsidP="001A43A0">
      <w:pPr>
        <w:spacing w:after="120" w:line="276" w:lineRule="auto"/>
        <w:ind w:firstLine="720"/>
        <w:jc w:val="both"/>
        <w:rPr>
          <w:rFonts w:ascii="Arial" w:hAnsi="Arial" w:cs="Arial"/>
        </w:rPr>
      </w:pPr>
      <w:r w:rsidRPr="001A43A0">
        <w:rPr>
          <w:rFonts w:ascii="Arial" w:hAnsi="Arial" w:cs="Arial"/>
        </w:rPr>
        <w:t>Operational bottlenecks included delayed client documents, frequent mismatches between recorded TDS and official forms, and manual transaction classifications increasing cycle times and audit risk. Scattered evidence storage and missing formal review stages generated inconsistent compliance quality.</w:t>
      </w:r>
    </w:p>
    <w:p w14:paraId="2175B361" w14:textId="77777777" w:rsidR="00D06A2C" w:rsidRPr="001A43A0" w:rsidRDefault="00D06A2C" w:rsidP="001A43A0">
      <w:pPr>
        <w:spacing w:after="120" w:line="276" w:lineRule="auto"/>
        <w:jc w:val="both"/>
        <w:rPr>
          <w:rFonts w:ascii="Arial" w:hAnsi="Arial" w:cs="Arial"/>
        </w:rPr>
      </w:pPr>
      <w:r w:rsidRPr="001A43A0">
        <w:rPr>
          <w:rFonts w:ascii="Arial" w:hAnsi="Arial" w:cs="Arial"/>
        </w:rPr>
        <w:t>Supporting reviews include:</w:t>
      </w:r>
    </w:p>
    <w:p w14:paraId="3B6F619C" w14:textId="77777777" w:rsidR="00D06A2C" w:rsidRPr="001A43A0" w:rsidRDefault="00D06A2C" w:rsidP="001A43A0">
      <w:pPr>
        <w:numPr>
          <w:ilvl w:val="0"/>
          <w:numId w:val="2"/>
        </w:numPr>
        <w:tabs>
          <w:tab w:val="clear" w:pos="720"/>
        </w:tabs>
        <w:spacing w:after="120" w:line="276" w:lineRule="auto"/>
        <w:ind w:left="450"/>
        <w:jc w:val="both"/>
        <w:rPr>
          <w:rFonts w:ascii="Arial" w:hAnsi="Arial" w:cs="Arial"/>
        </w:rPr>
      </w:pPr>
      <w:r w:rsidRPr="001A43A0">
        <w:rPr>
          <w:rFonts w:ascii="Arial" w:hAnsi="Arial" w:cs="Arial"/>
        </w:rPr>
        <w:t>Central Board of Direct Taxes (2023) emphasizes predefined checklists to enforce data completeness before filings.</w:t>
      </w:r>
    </w:p>
    <w:p w14:paraId="3B00818D" w14:textId="77777777" w:rsidR="00D06A2C" w:rsidRPr="001A43A0" w:rsidRDefault="00D06A2C" w:rsidP="001A43A0">
      <w:pPr>
        <w:numPr>
          <w:ilvl w:val="0"/>
          <w:numId w:val="2"/>
        </w:numPr>
        <w:tabs>
          <w:tab w:val="clear" w:pos="720"/>
        </w:tabs>
        <w:spacing w:after="120" w:line="276" w:lineRule="auto"/>
        <w:ind w:left="450"/>
        <w:jc w:val="both"/>
        <w:rPr>
          <w:rFonts w:ascii="Arial" w:hAnsi="Arial" w:cs="Arial"/>
        </w:rPr>
      </w:pPr>
      <w:r w:rsidRPr="001A43A0">
        <w:rPr>
          <w:rFonts w:ascii="Arial" w:hAnsi="Arial" w:cs="Arial"/>
        </w:rPr>
        <w:t>Goods and Services Tax Network (2024) recommends AI and automation for reconciliation efficiency and error reduction.</w:t>
      </w:r>
    </w:p>
    <w:p w14:paraId="1D76DCEF" w14:textId="77777777" w:rsidR="00D06A2C" w:rsidRPr="001A43A0" w:rsidRDefault="00D06A2C" w:rsidP="001A43A0">
      <w:pPr>
        <w:numPr>
          <w:ilvl w:val="0"/>
          <w:numId w:val="2"/>
        </w:numPr>
        <w:tabs>
          <w:tab w:val="clear" w:pos="720"/>
        </w:tabs>
        <w:spacing w:after="120" w:line="276" w:lineRule="auto"/>
        <w:ind w:left="450"/>
        <w:jc w:val="both"/>
        <w:rPr>
          <w:rFonts w:ascii="Arial" w:hAnsi="Arial" w:cs="Arial"/>
        </w:rPr>
      </w:pPr>
      <w:r w:rsidRPr="001A43A0">
        <w:rPr>
          <w:rFonts w:ascii="Arial" w:hAnsi="Arial" w:cs="Arial"/>
        </w:rPr>
        <w:t xml:space="preserve">Institute of Chartered Accountants of India (2023) outlines best practices for </w:t>
      </w:r>
      <w:r w:rsidRPr="001A43A0">
        <w:rPr>
          <w:rFonts w:ascii="Arial" w:hAnsi="Arial" w:cs="Arial"/>
        </w:rPr>
        <w:t>maker-checker controls and evidence archival.</w:t>
      </w:r>
    </w:p>
    <w:p w14:paraId="74068713" w14:textId="77777777" w:rsidR="00D06A2C" w:rsidRPr="001A43A0" w:rsidRDefault="00D06A2C" w:rsidP="001A43A0">
      <w:pPr>
        <w:numPr>
          <w:ilvl w:val="0"/>
          <w:numId w:val="2"/>
        </w:numPr>
        <w:tabs>
          <w:tab w:val="clear" w:pos="720"/>
        </w:tabs>
        <w:spacing w:after="120" w:line="276" w:lineRule="auto"/>
        <w:ind w:left="450"/>
        <w:jc w:val="both"/>
        <w:rPr>
          <w:rFonts w:ascii="Arial" w:hAnsi="Arial" w:cs="Arial"/>
        </w:rPr>
      </w:pPr>
      <w:r w:rsidRPr="001A43A0">
        <w:rPr>
          <w:rFonts w:ascii="Arial" w:hAnsi="Arial" w:cs="Arial"/>
        </w:rPr>
        <w:t>Deeksharani (2025) documents beneficial impacts of workload smoothing and client communication to reduce filing backlogs.</w:t>
      </w:r>
    </w:p>
    <w:p w14:paraId="3978E455" w14:textId="77777777" w:rsidR="00D06A2C" w:rsidRPr="001A43A0" w:rsidRDefault="00D06A2C" w:rsidP="001A43A0">
      <w:pPr>
        <w:numPr>
          <w:ilvl w:val="0"/>
          <w:numId w:val="2"/>
        </w:numPr>
        <w:tabs>
          <w:tab w:val="clear" w:pos="720"/>
        </w:tabs>
        <w:spacing w:after="120" w:line="276" w:lineRule="auto"/>
        <w:ind w:left="450"/>
        <w:jc w:val="both"/>
        <w:rPr>
          <w:rFonts w:ascii="Arial" w:hAnsi="Arial" w:cs="Arial"/>
        </w:rPr>
      </w:pPr>
      <w:r w:rsidRPr="001A43A0">
        <w:rPr>
          <w:rFonts w:ascii="Arial" w:hAnsi="Arial" w:cs="Arial"/>
        </w:rPr>
        <w:t>Deloitte India (2023) finds that compliance firms integrating AI-enhanced workflows alongside training experience improved risk management and client retention.</w:t>
      </w:r>
    </w:p>
    <w:p w14:paraId="6DDC513D" w14:textId="77777777" w:rsidR="00D06A2C" w:rsidRPr="001A43A0" w:rsidRDefault="00D06A2C" w:rsidP="001A43A0">
      <w:pPr>
        <w:spacing w:after="120" w:line="276" w:lineRule="auto"/>
        <w:ind w:firstLine="450"/>
        <w:jc w:val="both"/>
        <w:rPr>
          <w:rFonts w:ascii="Arial" w:hAnsi="Arial" w:cs="Arial"/>
        </w:rPr>
      </w:pPr>
      <w:r w:rsidRPr="001A43A0">
        <w:rPr>
          <w:rFonts w:ascii="Arial" w:hAnsi="Arial" w:cs="Arial"/>
        </w:rPr>
        <w:t>Collectively these insights reveal a comprehensive solution combining technology, process discipline, and change management is critical.</w:t>
      </w:r>
    </w:p>
    <w:p w14:paraId="3825927D" w14:textId="77777777" w:rsidR="00D06A2C" w:rsidRPr="001A43A0" w:rsidRDefault="00D06A2C" w:rsidP="001A43A0">
      <w:pPr>
        <w:spacing w:after="120" w:line="276" w:lineRule="auto"/>
        <w:jc w:val="both"/>
        <w:rPr>
          <w:rFonts w:ascii="Arial" w:hAnsi="Arial" w:cs="Arial"/>
          <w:b/>
          <w:bCs/>
        </w:rPr>
      </w:pPr>
      <w:r w:rsidRPr="001A43A0">
        <w:rPr>
          <w:rFonts w:ascii="Arial" w:hAnsi="Arial" w:cs="Arial"/>
          <w:b/>
          <w:bCs/>
        </w:rPr>
        <w:t>Academic Learning</w:t>
      </w:r>
    </w:p>
    <w:p w14:paraId="14718CAC" w14:textId="77777777" w:rsidR="00D06A2C" w:rsidRPr="001A43A0" w:rsidRDefault="00D06A2C" w:rsidP="001A43A0">
      <w:pPr>
        <w:spacing w:after="120" w:line="276" w:lineRule="auto"/>
        <w:ind w:firstLine="720"/>
        <w:jc w:val="both"/>
        <w:rPr>
          <w:rFonts w:ascii="Arial" w:hAnsi="Arial" w:cs="Arial"/>
        </w:rPr>
      </w:pPr>
      <w:r w:rsidRPr="001A43A0">
        <w:rPr>
          <w:rFonts w:ascii="Arial" w:hAnsi="Arial" w:cs="Arial"/>
        </w:rPr>
        <w:t>Students translate real-world challenges into control-centric operating models comprising: (i) structured client data intake supplemented by automated reminders, (ii) AI-based reconciliation flows integrating multi-source data including Form 26AS and bank statements, (iii) maker-checker governed evidence repositories with role-based access and audit trails, and (iv) operational KPIs tracking variance aging, rework, and filing timeliness.</w:t>
      </w:r>
    </w:p>
    <w:p w14:paraId="632E4BFE" w14:textId="77777777" w:rsidR="00D06A2C" w:rsidRPr="001A43A0" w:rsidRDefault="00D06A2C" w:rsidP="001A43A0">
      <w:pPr>
        <w:spacing w:after="120" w:line="276" w:lineRule="auto"/>
        <w:ind w:firstLine="720"/>
        <w:jc w:val="both"/>
        <w:rPr>
          <w:rFonts w:ascii="Arial" w:hAnsi="Arial" w:cs="Arial"/>
        </w:rPr>
      </w:pPr>
      <w:r w:rsidRPr="001A43A0">
        <w:rPr>
          <w:rFonts w:ascii="Arial" w:hAnsi="Arial" w:cs="Arial"/>
        </w:rPr>
        <w:t>Through designing SOPs aligned with CBDT and GSTN regulatory formats and crafting training curricula on emerging tax portals and analytics tools, learners develop comprehensive, scalable digital compliance solutions. The curriculum underscores converting erratic reactive cycles into predictable throughput sustained by an informed workforce and resilient technology.</w:t>
      </w:r>
    </w:p>
    <w:p w14:paraId="0226413E" w14:textId="77777777" w:rsidR="00D06A2C" w:rsidRPr="001A43A0" w:rsidRDefault="00D06A2C" w:rsidP="001A43A0">
      <w:pPr>
        <w:spacing w:after="120" w:line="276" w:lineRule="auto"/>
        <w:jc w:val="center"/>
        <w:rPr>
          <w:rFonts w:ascii="Arial" w:hAnsi="Arial" w:cs="Arial"/>
          <w:b/>
          <w:bCs/>
          <w:caps/>
        </w:rPr>
      </w:pPr>
      <w:r w:rsidRPr="001A43A0">
        <w:rPr>
          <w:rFonts w:ascii="Arial" w:hAnsi="Arial" w:cs="Arial"/>
          <w:b/>
          <w:bCs/>
          <w:caps/>
        </w:rPr>
        <w:t>Conclusion</w:t>
      </w:r>
    </w:p>
    <w:p w14:paraId="10A1A591" w14:textId="77777777" w:rsidR="00D06A2C" w:rsidRPr="001A43A0" w:rsidRDefault="00D06A2C" w:rsidP="001A43A0">
      <w:pPr>
        <w:spacing w:after="120" w:line="276" w:lineRule="auto"/>
        <w:ind w:firstLine="720"/>
        <w:jc w:val="both"/>
        <w:rPr>
          <w:rFonts w:ascii="Arial" w:hAnsi="Arial" w:cs="Arial"/>
        </w:rPr>
      </w:pPr>
      <w:r w:rsidRPr="001A43A0">
        <w:rPr>
          <w:rFonts w:ascii="Arial" w:hAnsi="Arial" w:cs="Arial"/>
        </w:rPr>
        <w:t xml:space="preserve">Sustained compliance efficiency emerges from layered controls, automation, and proactive client engagement. InstaFiling’s experience demonstrates that implementing client </w:t>
      </w:r>
      <w:r w:rsidRPr="001A43A0">
        <w:rPr>
          <w:rFonts w:ascii="Arial" w:hAnsi="Arial" w:cs="Arial"/>
        </w:rPr>
        <w:lastRenderedPageBreak/>
        <w:t>checklists, AI-assisted reconciliations, structured maker-checker approval frameworks, and KPI dashboards substantially improves filing accuracy and timeliness without compromising confidentiality.</w:t>
      </w:r>
    </w:p>
    <w:p w14:paraId="24596E71" w14:textId="77777777" w:rsidR="00D06A2C" w:rsidRPr="001A43A0" w:rsidRDefault="00D06A2C" w:rsidP="001A43A0">
      <w:pPr>
        <w:spacing w:after="120" w:line="276" w:lineRule="auto"/>
        <w:ind w:firstLine="720"/>
        <w:jc w:val="both"/>
        <w:rPr>
          <w:rFonts w:ascii="Arial" w:hAnsi="Arial" w:cs="Arial"/>
        </w:rPr>
      </w:pPr>
      <w:r w:rsidRPr="001A43A0">
        <w:rPr>
          <w:rFonts w:ascii="Arial" w:hAnsi="Arial" w:cs="Arial"/>
        </w:rPr>
        <w:t>Aligning operational routines with regulatory guidance from CBDT, GSTN, and ICAI creates a fertile foundation for scaling compliance services. The case illustrates that harmonizing process, technology, and talent management is indispensable to thriving in India’s rapidly evolving tax ecosystem and realizing transformational excellence.</w:t>
      </w:r>
    </w:p>
    <w:p w14:paraId="15EEA977" w14:textId="77777777" w:rsidR="00D06A2C" w:rsidRPr="001A43A0" w:rsidRDefault="00D06A2C" w:rsidP="001A43A0">
      <w:pPr>
        <w:spacing w:after="120" w:line="276" w:lineRule="auto"/>
        <w:jc w:val="center"/>
        <w:rPr>
          <w:rFonts w:ascii="Arial" w:hAnsi="Arial" w:cs="Arial"/>
          <w:b/>
          <w:bCs/>
          <w:caps/>
        </w:rPr>
      </w:pPr>
      <w:r w:rsidRPr="001A43A0">
        <w:rPr>
          <w:rFonts w:ascii="Arial" w:hAnsi="Arial" w:cs="Arial"/>
          <w:b/>
          <w:bCs/>
          <w:caps/>
        </w:rPr>
        <w:t>Case Questions</w:t>
      </w:r>
    </w:p>
    <w:p w14:paraId="7FE7E77C" w14:textId="77777777" w:rsidR="00D06A2C" w:rsidRPr="001A43A0" w:rsidRDefault="00D06A2C" w:rsidP="001A43A0">
      <w:pPr>
        <w:numPr>
          <w:ilvl w:val="0"/>
          <w:numId w:val="3"/>
        </w:numPr>
        <w:tabs>
          <w:tab w:val="clear" w:pos="720"/>
        </w:tabs>
        <w:spacing w:after="120" w:line="276" w:lineRule="auto"/>
        <w:ind w:left="360"/>
        <w:jc w:val="both"/>
        <w:rPr>
          <w:rFonts w:ascii="Arial" w:hAnsi="Arial" w:cs="Arial"/>
        </w:rPr>
      </w:pPr>
      <w:r w:rsidRPr="001A43A0">
        <w:rPr>
          <w:rFonts w:ascii="Arial" w:hAnsi="Arial" w:cs="Arial"/>
        </w:rPr>
        <w:t>Draft a comprehensive client-data checklist incorporating automated reminders to improve early completeness.</w:t>
      </w:r>
    </w:p>
    <w:p w14:paraId="7EA87528" w14:textId="77777777" w:rsidR="00D06A2C" w:rsidRPr="001A43A0" w:rsidRDefault="00D06A2C" w:rsidP="001A43A0">
      <w:pPr>
        <w:numPr>
          <w:ilvl w:val="0"/>
          <w:numId w:val="3"/>
        </w:numPr>
        <w:tabs>
          <w:tab w:val="clear" w:pos="720"/>
        </w:tabs>
        <w:spacing w:after="120" w:line="276" w:lineRule="auto"/>
        <w:ind w:left="360"/>
        <w:jc w:val="both"/>
        <w:rPr>
          <w:rFonts w:ascii="Arial" w:hAnsi="Arial" w:cs="Arial"/>
        </w:rPr>
      </w:pPr>
      <w:r w:rsidRPr="001A43A0">
        <w:rPr>
          <w:rFonts w:ascii="Arial" w:hAnsi="Arial" w:cs="Arial"/>
        </w:rPr>
        <w:t>Design an automated AIS/26AS and GST reconciliation workflow featuring exception classification and maker-checker signoffs.</w:t>
      </w:r>
    </w:p>
    <w:p w14:paraId="1FA37C24" w14:textId="77777777" w:rsidR="00D06A2C" w:rsidRPr="001A43A0" w:rsidRDefault="00D06A2C" w:rsidP="001A43A0">
      <w:pPr>
        <w:numPr>
          <w:ilvl w:val="0"/>
          <w:numId w:val="3"/>
        </w:numPr>
        <w:tabs>
          <w:tab w:val="clear" w:pos="720"/>
        </w:tabs>
        <w:spacing w:after="120" w:line="276" w:lineRule="auto"/>
        <w:ind w:left="360"/>
        <w:jc w:val="both"/>
        <w:rPr>
          <w:rFonts w:ascii="Arial" w:hAnsi="Arial" w:cs="Arial"/>
        </w:rPr>
      </w:pPr>
      <w:r w:rsidRPr="001A43A0">
        <w:rPr>
          <w:rFonts w:ascii="Arial" w:hAnsi="Arial" w:cs="Arial"/>
        </w:rPr>
        <w:t>Specify requirements for an evidence repository with role-based access, retention policies, and audit trail features.</w:t>
      </w:r>
    </w:p>
    <w:p w14:paraId="5DDE2740" w14:textId="77777777" w:rsidR="00D06A2C" w:rsidRPr="001A43A0" w:rsidRDefault="00D06A2C" w:rsidP="001A43A0">
      <w:pPr>
        <w:numPr>
          <w:ilvl w:val="0"/>
          <w:numId w:val="3"/>
        </w:numPr>
        <w:tabs>
          <w:tab w:val="clear" w:pos="720"/>
        </w:tabs>
        <w:spacing w:after="120" w:line="276" w:lineRule="auto"/>
        <w:ind w:left="360"/>
        <w:jc w:val="both"/>
        <w:rPr>
          <w:rFonts w:ascii="Arial" w:hAnsi="Arial" w:cs="Arial"/>
        </w:rPr>
      </w:pPr>
      <w:r w:rsidRPr="001A43A0">
        <w:rPr>
          <w:rFonts w:ascii="Arial" w:hAnsi="Arial" w:cs="Arial"/>
        </w:rPr>
        <w:t>Construct a KPI dashboard encompassing variance aging, rework frequency, on-time filings, and client satisfaction with assigned process owners.</w:t>
      </w:r>
    </w:p>
    <w:p w14:paraId="2E94A89A" w14:textId="77777777" w:rsidR="00D06A2C" w:rsidRPr="001A43A0" w:rsidRDefault="00D06A2C" w:rsidP="001A43A0">
      <w:pPr>
        <w:spacing w:after="120" w:line="276" w:lineRule="auto"/>
        <w:jc w:val="center"/>
        <w:rPr>
          <w:rFonts w:ascii="Arial" w:hAnsi="Arial" w:cs="Arial"/>
          <w:b/>
          <w:bCs/>
          <w:caps/>
        </w:rPr>
      </w:pPr>
      <w:r w:rsidRPr="001A43A0">
        <w:rPr>
          <w:rFonts w:ascii="Arial" w:hAnsi="Arial" w:cs="Arial"/>
          <w:b/>
          <w:bCs/>
          <w:caps/>
        </w:rPr>
        <w:t>References</w:t>
      </w:r>
    </w:p>
    <w:p w14:paraId="1814FA6F" w14:textId="77777777" w:rsidR="00D06A2C" w:rsidRPr="001A43A0" w:rsidRDefault="00D06A2C" w:rsidP="001A43A0">
      <w:pPr>
        <w:spacing w:after="120" w:line="276" w:lineRule="auto"/>
        <w:ind w:left="720" w:hanging="720"/>
        <w:jc w:val="both"/>
        <w:rPr>
          <w:rFonts w:ascii="Arial" w:hAnsi="Arial" w:cs="Arial"/>
        </w:rPr>
      </w:pPr>
      <w:r w:rsidRPr="001A43A0">
        <w:rPr>
          <w:rFonts w:ascii="Arial" w:hAnsi="Arial" w:cs="Arial"/>
        </w:rPr>
        <w:t>Central Board of Direct Taxes. (2023). Guidelines on TDS/ITR reconciliation and compliance. Government of India.</w:t>
      </w:r>
    </w:p>
    <w:p w14:paraId="77D829AC" w14:textId="77777777" w:rsidR="00D06A2C" w:rsidRPr="001A43A0" w:rsidRDefault="00D06A2C" w:rsidP="001A43A0">
      <w:pPr>
        <w:spacing w:after="120" w:line="276" w:lineRule="auto"/>
        <w:ind w:left="720" w:hanging="720"/>
        <w:jc w:val="both"/>
        <w:rPr>
          <w:rFonts w:ascii="Arial" w:hAnsi="Arial" w:cs="Arial"/>
        </w:rPr>
      </w:pPr>
      <w:r w:rsidRPr="001A43A0">
        <w:rPr>
          <w:rFonts w:ascii="Arial" w:hAnsi="Arial" w:cs="Arial"/>
        </w:rPr>
        <w:t>Deeksharani. (2025). Operational excellence in TDS, ITR, and financial compliance: InstaFiling case study (Unpublished student work).</w:t>
      </w:r>
    </w:p>
    <w:p w14:paraId="3AC391E9" w14:textId="77777777" w:rsidR="00D06A2C" w:rsidRPr="001A43A0" w:rsidRDefault="00D06A2C" w:rsidP="001A43A0">
      <w:pPr>
        <w:spacing w:after="120" w:line="276" w:lineRule="auto"/>
        <w:ind w:left="720" w:hanging="720"/>
        <w:jc w:val="both"/>
        <w:rPr>
          <w:rFonts w:ascii="Arial" w:hAnsi="Arial" w:cs="Arial"/>
        </w:rPr>
      </w:pPr>
      <w:r w:rsidRPr="001A43A0">
        <w:rPr>
          <w:rFonts w:ascii="Arial" w:hAnsi="Arial" w:cs="Arial"/>
        </w:rPr>
        <w:t>Goods and Services Tax Network. (2024). Portal advisories for reconciliation and e-invoicing. GSTN.</w:t>
      </w:r>
    </w:p>
    <w:p w14:paraId="7BC17D2B" w14:textId="77777777" w:rsidR="00D06A2C" w:rsidRPr="001A43A0" w:rsidRDefault="00D06A2C" w:rsidP="001A43A0">
      <w:pPr>
        <w:spacing w:after="120" w:line="276" w:lineRule="auto"/>
        <w:ind w:left="720" w:hanging="720"/>
        <w:jc w:val="both"/>
        <w:rPr>
          <w:rFonts w:ascii="Arial" w:hAnsi="Arial" w:cs="Arial"/>
        </w:rPr>
      </w:pPr>
      <w:r w:rsidRPr="001A43A0">
        <w:rPr>
          <w:rFonts w:ascii="Arial" w:hAnsi="Arial" w:cs="Arial"/>
        </w:rPr>
        <w:t>Institute of Chartered Accountants of India. (2023). Technical guidance on digital compliance and reconciliations. ICAI.</w:t>
      </w:r>
    </w:p>
    <w:p w14:paraId="48EBDF8B" w14:textId="77777777" w:rsidR="00D06A2C" w:rsidRPr="001A43A0" w:rsidRDefault="00D06A2C" w:rsidP="001A43A0">
      <w:pPr>
        <w:spacing w:after="120" w:line="276" w:lineRule="auto"/>
        <w:ind w:left="720" w:hanging="720"/>
        <w:jc w:val="both"/>
        <w:rPr>
          <w:rFonts w:ascii="Arial" w:hAnsi="Arial" w:cs="Arial"/>
        </w:rPr>
      </w:pPr>
      <w:r w:rsidRPr="001A43A0">
        <w:rPr>
          <w:rFonts w:ascii="Arial" w:hAnsi="Arial" w:cs="Arial"/>
        </w:rPr>
        <w:t>Deloitte India. (2023). Emerging trends in tax compliance: AI and workforce transformation.</w:t>
      </w:r>
    </w:p>
    <w:p w14:paraId="1BEBBA54" w14:textId="77777777" w:rsidR="00853FEB" w:rsidRPr="001A43A0" w:rsidRDefault="00853FEB" w:rsidP="001A43A0">
      <w:pPr>
        <w:spacing w:after="120" w:line="276" w:lineRule="auto"/>
        <w:jc w:val="both"/>
        <w:rPr>
          <w:rFonts w:ascii="Arial" w:hAnsi="Arial" w:cs="Arial"/>
        </w:rPr>
      </w:pPr>
    </w:p>
    <w:sectPr w:rsidR="00853FEB" w:rsidRPr="001A43A0" w:rsidSect="001A43A0">
      <w:type w:val="continuous"/>
      <w:pgSz w:w="11906" w:h="16838" w:code="9"/>
      <w:pgMar w:top="1440" w:right="1440" w:bottom="1440" w:left="1440" w:header="1008" w:footer="72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BCCC" w14:textId="77777777" w:rsidR="00265D0C" w:rsidRDefault="00265D0C" w:rsidP="004A6B8C">
      <w:pPr>
        <w:spacing w:after="0" w:line="240" w:lineRule="auto"/>
      </w:pPr>
      <w:r>
        <w:separator/>
      </w:r>
    </w:p>
  </w:endnote>
  <w:endnote w:type="continuationSeparator" w:id="0">
    <w:p w14:paraId="15FC79CC" w14:textId="77777777" w:rsidR="00265D0C" w:rsidRDefault="00265D0C" w:rsidP="004A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6F35" w14:textId="77777777" w:rsidR="00265D0C" w:rsidRDefault="00265D0C" w:rsidP="004A6B8C">
      <w:pPr>
        <w:spacing w:after="0" w:line="240" w:lineRule="auto"/>
      </w:pPr>
      <w:r>
        <w:separator/>
      </w:r>
    </w:p>
  </w:footnote>
  <w:footnote w:type="continuationSeparator" w:id="0">
    <w:p w14:paraId="0753B4FA" w14:textId="77777777" w:rsidR="00265D0C" w:rsidRDefault="00265D0C" w:rsidP="004A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6C36" w14:textId="40956F1F" w:rsidR="004A6B8C" w:rsidRPr="004A6B8C" w:rsidRDefault="004A6B8C" w:rsidP="004A6B8C">
    <w:pPr>
      <w:pStyle w:val="Header"/>
      <w:pBdr>
        <w:bottom w:val="single" w:sz="4" w:space="1" w:color="auto"/>
      </w:pBdr>
      <w:rPr>
        <w:rFonts w:ascii="Arial" w:hAnsi="Arial" w:cs="Arial"/>
        <w:sz w:val="16"/>
        <w:szCs w:val="16"/>
      </w:rPr>
    </w:pPr>
    <w:r w:rsidRPr="00B62BAE">
      <w:rPr>
        <w:rFonts w:ascii="Arial" w:hAnsi="Arial" w:cs="Arial"/>
        <w:sz w:val="16"/>
        <w:szCs w:val="16"/>
      </w:rPr>
      <w:t>20</w:t>
    </w:r>
    <w:r>
      <w:rPr>
        <w:rFonts w:ascii="Arial" w:hAnsi="Arial" w:cs="Arial"/>
        <w:sz w:val="16"/>
        <w:szCs w:val="16"/>
      </w:rPr>
      <w:t>25</w:t>
    </w:r>
    <w:r w:rsidRPr="00B62BAE">
      <w:rPr>
        <w:rFonts w:ascii="Arial" w:hAnsi="Arial" w:cs="Arial"/>
        <w:sz w:val="16"/>
        <w:szCs w:val="16"/>
      </w:rPr>
      <w:tab/>
    </w:r>
    <w:r>
      <w:rPr>
        <w:rFonts w:ascii="Arial" w:hAnsi="Arial" w:cs="Arial"/>
        <w:sz w:val="16"/>
        <w:szCs w:val="16"/>
      </w:rPr>
      <w:t>Deeksharani, Dr. Hanish Kukreja</w:t>
    </w:r>
    <w:r w:rsidRPr="00B62BAE">
      <w:rPr>
        <w:rFonts w:ascii="Arial" w:hAnsi="Arial" w:cs="Arial"/>
        <w:sz w:val="16"/>
        <w:szCs w:val="16"/>
      </w:rPr>
      <w:tab/>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13</w:t>
    </w:r>
    <w:r w:rsidRPr="00B62BAE">
      <w:rPr>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4B7E" w14:textId="78731430" w:rsidR="004A6B8C" w:rsidRPr="004A6B8C" w:rsidRDefault="004A6B8C" w:rsidP="004A6B8C">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10</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November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85EC5"/>
    <w:multiLevelType w:val="multilevel"/>
    <w:tmpl w:val="DF50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B1F2B"/>
    <w:multiLevelType w:val="multilevel"/>
    <w:tmpl w:val="BD66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07CF6"/>
    <w:multiLevelType w:val="multilevel"/>
    <w:tmpl w:val="6A049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04741B"/>
    <w:multiLevelType w:val="multilevel"/>
    <w:tmpl w:val="E568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8D4A36"/>
    <w:multiLevelType w:val="multilevel"/>
    <w:tmpl w:val="90046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9951525">
    <w:abstractNumId w:val="1"/>
  </w:num>
  <w:num w:numId="2" w16cid:durableId="2042513587">
    <w:abstractNumId w:val="3"/>
  </w:num>
  <w:num w:numId="3" w16cid:durableId="1649901360">
    <w:abstractNumId w:val="2"/>
  </w:num>
  <w:num w:numId="4" w16cid:durableId="2029677857">
    <w:abstractNumId w:val="0"/>
  </w:num>
  <w:num w:numId="5" w16cid:durableId="445009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2C"/>
    <w:rsid w:val="001A43A0"/>
    <w:rsid w:val="00265D0C"/>
    <w:rsid w:val="002A3256"/>
    <w:rsid w:val="00322BDC"/>
    <w:rsid w:val="003E6B3C"/>
    <w:rsid w:val="004A6B8C"/>
    <w:rsid w:val="00576379"/>
    <w:rsid w:val="00583B73"/>
    <w:rsid w:val="00587473"/>
    <w:rsid w:val="00853FEB"/>
    <w:rsid w:val="00881F68"/>
    <w:rsid w:val="009051B0"/>
    <w:rsid w:val="009A3D7D"/>
    <w:rsid w:val="009C70F3"/>
    <w:rsid w:val="00D06A2C"/>
    <w:rsid w:val="00D54C29"/>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A430"/>
  <w15:chartTrackingRefBased/>
  <w15:docId w15:val="{62EEECC6-AAAA-4C9B-A729-211EC7C8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A2C"/>
    <w:rPr>
      <w:color w:val="0563C1" w:themeColor="hyperlink"/>
      <w:u w:val="single"/>
    </w:rPr>
  </w:style>
  <w:style w:type="table" w:styleId="TableGrid">
    <w:name w:val="Table Grid"/>
    <w:basedOn w:val="TableNormal"/>
    <w:uiPriority w:val="39"/>
    <w:rsid w:val="001A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6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B8C"/>
  </w:style>
  <w:style w:type="paragraph" w:styleId="Footer">
    <w:name w:val="footer"/>
    <w:basedOn w:val="Normal"/>
    <w:link w:val="FooterChar"/>
    <w:uiPriority w:val="99"/>
    <w:unhideWhenUsed/>
    <w:rsid w:val="004A6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B8C"/>
  </w:style>
  <w:style w:type="character" w:styleId="UnresolvedMention">
    <w:name w:val="Unresolved Mention"/>
    <w:basedOn w:val="DefaultParagraphFont"/>
    <w:uiPriority w:val="99"/>
    <w:semiHidden/>
    <w:unhideWhenUsed/>
    <w:rsid w:val="009A3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989056">
      <w:bodyDiv w:val="1"/>
      <w:marLeft w:val="0"/>
      <w:marRight w:val="0"/>
      <w:marTop w:val="0"/>
      <w:marBottom w:val="0"/>
      <w:divBdr>
        <w:top w:val="none" w:sz="0" w:space="0" w:color="auto"/>
        <w:left w:val="none" w:sz="0" w:space="0" w:color="auto"/>
        <w:bottom w:val="none" w:sz="0" w:space="0" w:color="auto"/>
        <w:right w:val="none" w:sz="0" w:space="0" w:color="auto"/>
      </w:divBdr>
      <w:divsChild>
        <w:div w:id="1710648040">
          <w:marLeft w:val="0"/>
          <w:marRight w:val="0"/>
          <w:marTop w:val="0"/>
          <w:marBottom w:val="0"/>
          <w:divBdr>
            <w:top w:val="none" w:sz="0" w:space="0" w:color="auto"/>
            <w:left w:val="none" w:sz="0" w:space="0" w:color="auto"/>
            <w:bottom w:val="none" w:sz="0" w:space="0" w:color="auto"/>
            <w:right w:val="none" w:sz="0" w:space="0" w:color="auto"/>
          </w:divBdr>
        </w:div>
      </w:divsChild>
    </w:div>
    <w:div w:id="1553036329">
      <w:bodyDiv w:val="1"/>
      <w:marLeft w:val="0"/>
      <w:marRight w:val="0"/>
      <w:marTop w:val="0"/>
      <w:marBottom w:val="0"/>
      <w:divBdr>
        <w:top w:val="none" w:sz="0" w:space="0" w:color="auto"/>
        <w:left w:val="none" w:sz="0" w:space="0" w:color="auto"/>
        <w:bottom w:val="none" w:sz="0" w:space="0" w:color="auto"/>
        <w:right w:val="none" w:sz="0" w:space="0" w:color="auto"/>
      </w:divBdr>
      <w:divsChild>
        <w:div w:id="2043746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7719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CMS-STAFF139</dc:creator>
  <cp:keywords/>
  <dc:description/>
  <cp:lastModifiedBy>Ravi chandran</cp:lastModifiedBy>
  <cp:revision>8</cp:revision>
  <dcterms:created xsi:type="dcterms:W3CDTF">2025-11-07T03:33:00Z</dcterms:created>
  <dcterms:modified xsi:type="dcterms:W3CDTF">2025-11-26T05:47:00Z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2025-11-14T04:37:48Z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4caa8d7d-2bbf-401d-9ad9-ae72ed28c2fe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