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C8BC8" w14:textId="2EC312F6" w:rsidR="000F3C85" w:rsidRPr="00FA13C3" w:rsidRDefault="000F3C85" w:rsidP="000F3C85">
      <w:pPr>
        <w:spacing w:after="0" w:line="160" w:lineRule="atLeast"/>
        <w:jc w:val="both"/>
        <w:rPr>
          <w:rFonts w:ascii="Arial" w:eastAsia="Arial" w:hAnsi="Arial" w:cs="Arial"/>
          <w:i/>
          <w:color w:val="000000"/>
          <w:spacing w:val="-1"/>
          <w:sz w:val="14"/>
          <w:szCs w:val="14"/>
        </w:rPr>
      </w:pPr>
      <w:r w:rsidRPr="00FA13C3">
        <w:rPr>
          <w:rFonts w:ascii="Arial" w:eastAsia="Arial" w:hAnsi="Arial" w:cs="Arial"/>
          <w:i/>
          <w:color w:val="000000"/>
          <w:sz w:val="14"/>
          <w:szCs w:val="14"/>
        </w:rPr>
        <w:t>©</w:t>
      </w:r>
      <w:r w:rsidRPr="00FA13C3">
        <w:rPr>
          <w:rFonts w:ascii="Arial" w:eastAsia="Arial" w:hAnsi="Arial" w:cs="Arial"/>
          <w:i/>
          <w:color w:val="000000"/>
          <w:spacing w:val="-1"/>
          <w:sz w:val="14"/>
          <w:szCs w:val="14"/>
        </w:rPr>
        <w:t xml:space="preserve"> </w:t>
      </w:r>
      <w:r w:rsidRPr="00FA13C3">
        <w:rPr>
          <w:rFonts w:ascii="Arial" w:eastAsia="Arial" w:hAnsi="Arial" w:cs="Arial"/>
          <w:i/>
          <w:color w:val="000000"/>
          <w:sz w:val="14"/>
          <w:szCs w:val="14"/>
        </w:rPr>
        <w:t>International</w:t>
      </w:r>
      <w:r w:rsidRPr="00FA13C3">
        <w:rPr>
          <w:rFonts w:ascii="Arial" w:eastAsia="Arial" w:hAnsi="Arial" w:cs="Arial"/>
          <w:i/>
          <w:color w:val="000000"/>
          <w:spacing w:val="-1"/>
          <w:sz w:val="14"/>
          <w:szCs w:val="14"/>
        </w:rPr>
        <w:t xml:space="preserve"> Academic Research Journal of </w:t>
      </w:r>
      <w:r>
        <w:rPr>
          <w:rFonts w:ascii="Arial" w:eastAsia="Arial" w:hAnsi="Arial" w:cs="Arial"/>
          <w:i/>
          <w:color w:val="000000"/>
          <w:spacing w:val="-1"/>
          <w:sz w:val="14"/>
          <w:szCs w:val="14"/>
        </w:rPr>
        <w:t>Economics and Finance</w:t>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Pr>
          <w:rFonts w:ascii="Arial" w:eastAsia="Arial" w:hAnsi="Arial" w:cs="Arial"/>
          <w:i/>
          <w:color w:val="000000"/>
          <w:spacing w:val="-1"/>
          <w:sz w:val="14"/>
          <w:szCs w:val="14"/>
        </w:rPr>
        <w:tab/>
      </w:r>
      <w:r w:rsidR="003B768C">
        <w:rPr>
          <w:rFonts w:ascii="Arial" w:eastAsia="Arial" w:hAnsi="Arial" w:cs="Arial"/>
          <w:i/>
          <w:color w:val="000000"/>
          <w:spacing w:val="-1"/>
          <w:sz w:val="14"/>
          <w:szCs w:val="14"/>
        </w:rPr>
        <w:tab/>
      </w:r>
      <w:r w:rsidRPr="00812D87">
        <w:rPr>
          <w:rFonts w:ascii="Arial" w:eastAsia="Arial" w:hAnsi="Arial" w:cs="Arial"/>
          <w:i/>
          <w:color w:val="000000" w:themeColor="text1"/>
          <w:spacing w:val="-1"/>
          <w:sz w:val="14"/>
          <w:szCs w:val="14"/>
        </w:rPr>
        <w:t>ISSN:2227-1287</w:t>
      </w:r>
      <w:r>
        <w:rPr>
          <w:rFonts w:ascii="Arial" w:eastAsia="Arial" w:hAnsi="Arial" w:cs="Arial"/>
          <w:i/>
          <w:color w:val="000000"/>
          <w:spacing w:val="-1"/>
          <w:sz w:val="14"/>
          <w:szCs w:val="14"/>
        </w:rPr>
        <w:tab/>
      </w:r>
    </w:p>
    <w:p w14:paraId="0479DA2F" w14:textId="77777777" w:rsidR="003B768C" w:rsidRDefault="000F3C85" w:rsidP="000F3C85">
      <w:pPr>
        <w:spacing w:after="0" w:line="160" w:lineRule="atLeast"/>
        <w:jc w:val="both"/>
        <w:rPr>
          <w:rFonts w:ascii="Arial" w:eastAsia="Arial" w:hAnsi="Arial" w:cs="Arial"/>
          <w:i/>
          <w:color w:val="000000"/>
          <w:spacing w:val="-1"/>
          <w:sz w:val="14"/>
          <w:szCs w:val="14"/>
        </w:rPr>
      </w:pPr>
      <w:r w:rsidRPr="00DF2646">
        <w:rPr>
          <w:rFonts w:ascii="Arial" w:eastAsia="Arial" w:hAnsi="Arial" w:cs="Arial"/>
          <w:i/>
          <w:color w:val="000000"/>
          <w:spacing w:val="-1"/>
          <w:sz w:val="14"/>
          <w:szCs w:val="14"/>
        </w:rPr>
        <w:t xml:space="preserve">Volume </w:t>
      </w:r>
      <w:r>
        <w:rPr>
          <w:rFonts w:ascii="Arial" w:eastAsia="Arial" w:hAnsi="Arial" w:cs="Arial"/>
          <w:i/>
          <w:color w:val="000000"/>
          <w:spacing w:val="-1"/>
          <w:sz w:val="14"/>
          <w:szCs w:val="14"/>
        </w:rPr>
        <w:t>8</w:t>
      </w:r>
      <w:r w:rsidRPr="00DF2646">
        <w:rPr>
          <w:rFonts w:ascii="Arial" w:eastAsia="Arial" w:hAnsi="Arial" w:cs="Arial"/>
          <w:i/>
          <w:color w:val="000000"/>
          <w:spacing w:val="-1"/>
          <w:sz w:val="14"/>
          <w:szCs w:val="14"/>
        </w:rPr>
        <w:t>, Iss</w:t>
      </w:r>
      <w:r>
        <w:rPr>
          <w:rFonts w:ascii="Arial" w:eastAsia="Arial" w:hAnsi="Arial" w:cs="Arial"/>
          <w:i/>
          <w:color w:val="000000"/>
          <w:spacing w:val="-1"/>
          <w:sz w:val="14"/>
          <w:szCs w:val="14"/>
        </w:rPr>
        <w:t>ue</w:t>
      </w:r>
      <w:r w:rsidRPr="00DF2646">
        <w:rPr>
          <w:rFonts w:ascii="Arial" w:eastAsia="Arial" w:hAnsi="Arial" w:cs="Arial"/>
          <w:i/>
          <w:color w:val="000000"/>
          <w:spacing w:val="-1"/>
          <w:sz w:val="14"/>
          <w:szCs w:val="14"/>
        </w:rPr>
        <w:t xml:space="preserve"> No:</w:t>
      </w:r>
      <w:r>
        <w:rPr>
          <w:rFonts w:ascii="Arial" w:eastAsia="Arial" w:hAnsi="Arial" w:cs="Arial"/>
          <w:i/>
          <w:color w:val="000000"/>
          <w:spacing w:val="-1"/>
          <w:sz w:val="14"/>
          <w:szCs w:val="14"/>
        </w:rPr>
        <w:t>1</w:t>
      </w:r>
      <w:r w:rsidRPr="00DF2646">
        <w:rPr>
          <w:rFonts w:ascii="Arial" w:eastAsia="Arial" w:hAnsi="Arial" w:cs="Arial"/>
          <w:i/>
          <w:color w:val="000000"/>
          <w:spacing w:val="-1"/>
          <w:sz w:val="14"/>
          <w:szCs w:val="14"/>
        </w:rPr>
        <w:t xml:space="preserve">, </w:t>
      </w:r>
      <w:r>
        <w:rPr>
          <w:rFonts w:ascii="Arial" w:eastAsia="Arial" w:hAnsi="Arial" w:cs="Arial"/>
          <w:i/>
          <w:color w:val="000000"/>
          <w:spacing w:val="-1"/>
          <w:sz w:val="14"/>
          <w:szCs w:val="14"/>
        </w:rPr>
        <w:t>December</w:t>
      </w:r>
      <w:r w:rsidRPr="00DF2646">
        <w:rPr>
          <w:rFonts w:ascii="Arial" w:eastAsia="Arial" w:hAnsi="Arial" w:cs="Arial"/>
          <w:i/>
          <w:color w:val="000000"/>
          <w:spacing w:val="-1"/>
          <w:sz w:val="14"/>
          <w:szCs w:val="14"/>
        </w:rPr>
        <w:t xml:space="preserve"> 2025</w:t>
      </w:r>
    </w:p>
    <w:p w14:paraId="3D2745F7" w14:textId="293E5420" w:rsidR="003B768C" w:rsidRPr="003B768C" w:rsidRDefault="003B768C" w:rsidP="000F3C85">
      <w:pPr>
        <w:spacing w:after="0" w:line="160" w:lineRule="atLeast"/>
        <w:jc w:val="both"/>
        <w:rPr>
          <w:rFonts w:ascii="Arial" w:eastAsia="Arial" w:hAnsi="Arial" w:cs="Arial"/>
          <w:i/>
          <w:color w:val="000000"/>
          <w:spacing w:val="-1"/>
          <w:sz w:val="14"/>
          <w:szCs w:val="14"/>
        </w:rPr>
      </w:pPr>
      <w:r w:rsidRPr="003B768C">
        <w:rPr>
          <w:rFonts w:ascii="Arial" w:eastAsia="Arial" w:hAnsi="Arial" w:cs="Arial"/>
          <w:i/>
          <w:color w:val="000000"/>
          <w:spacing w:val="-1"/>
          <w:sz w:val="14"/>
          <w:szCs w:val="14"/>
        </w:rPr>
        <w:t xml:space="preserve">DOI: </w:t>
      </w:r>
      <w:hyperlink r:id="rId7" w:history="1">
        <w:r w:rsidRPr="003B768C">
          <w:rPr>
            <w:rStyle w:val="Hyperlink"/>
            <w:rFonts w:ascii="Arial" w:eastAsia="Arial" w:hAnsi="Arial" w:cs="Arial"/>
            <w:i/>
            <w:spacing w:val="-1"/>
            <w:sz w:val="14"/>
            <w:szCs w:val="14"/>
          </w:rPr>
          <w:t>https://doi.org/10.5281/zenodo.17719310</w:t>
        </w:r>
      </w:hyperlink>
    </w:p>
    <w:p w14:paraId="54768296" w14:textId="0751D4EC" w:rsidR="000F3C85" w:rsidRPr="003B768C" w:rsidRDefault="003B768C" w:rsidP="003B768C">
      <w:pPr>
        <w:spacing w:after="0" w:line="160" w:lineRule="atLeast"/>
        <w:jc w:val="both"/>
        <w:rPr>
          <w:rFonts w:ascii="Arial" w:eastAsia="Arial" w:hAnsi="Arial" w:cs="Arial"/>
          <w:i/>
          <w:color w:val="000000"/>
          <w:spacing w:val="-1"/>
          <w:sz w:val="14"/>
          <w:szCs w:val="14"/>
        </w:rPr>
      </w:pPr>
      <w:r w:rsidRPr="003B768C">
        <w:rPr>
          <w:rFonts w:ascii="Arial" w:eastAsia="Arial" w:hAnsi="Arial" w:cs="Arial"/>
          <w:i/>
          <w:color w:val="000000"/>
          <w:spacing w:val="-1"/>
          <w:sz w:val="14"/>
          <w:szCs w:val="14"/>
        </w:rPr>
        <w:t xml:space="preserve"> </w:t>
      </w:r>
      <w:r w:rsidR="000F3C85" w:rsidRPr="003B768C">
        <w:rPr>
          <w:rFonts w:ascii="Arial" w:eastAsia="Arial" w:hAnsi="Arial" w:cs="Arial"/>
          <w:i/>
          <w:color w:val="000000"/>
          <w:spacing w:val="-1"/>
          <w:sz w:val="14"/>
          <w:szCs w:val="14"/>
        </w:rPr>
        <w:tab/>
      </w:r>
      <w:r w:rsidR="000F3C85" w:rsidRPr="003B768C">
        <w:rPr>
          <w:rFonts w:ascii="Arial" w:eastAsia="Arial" w:hAnsi="Arial" w:cs="Arial"/>
          <w:i/>
          <w:color w:val="000000"/>
          <w:spacing w:val="-1"/>
          <w:sz w:val="14"/>
          <w:szCs w:val="14"/>
        </w:rPr>
        <w:tab/>
      </w:r>
      <w:r w:rsidR="000F3C85" w:rsidRPr="003B768C">
        <w:rPr>
          <w:rFonts w:ascii="Arial" w:eastAsia="Arial" w:hAnsi="Arial" w:cs="Arial"/>
          <w:i/>
          <w:color w:val="000000"/>
          <w:spacing w:val="-1"/>
          <w:sz w:val="14"/>
          <w:szCs w:val="14"/>
        </w:rPr>
        <w:tab/>
      </w:r>
      <w:r w:rsidR="000F3C85" w:rsidRPr="003B768C">
        <w:rPr>
          <w:rFonts w:ascii="Arial" w:eastAsia="Arial" w:hAnsi="Arial" w:cs="Arial"/>
          <w:i/>
          <w:color w:val="000000"/>
          <w:spacing w:val="-1"/>
          <w:sz w:val="14"/>
          <w:szCs w:val="14"/>
        </w:rPr>
        <w:tab/>
      </w:r>
      <w:r w:rsidR="000F3C85" w:rsidRPr="003B768C">
        <w:rPr>
          <w:rFonts w:ascii="Arial" w:eastAsia="Arial" w:hAnsi="Arial" w:cs="Arial"/>
          <w:i/>
          <w:color w:val="000000"/>
          <w:spacing w:val="-1"/>
          <w:sz w:val="14"/>
          <w:szCs w:val="14"/>
        </w:rPr>
        <w:tab/>
      </w:r>
      <w:r w:rsidR="000F3C85" w:rsidRPr="003B768C">
        <w:rPr>
          <w:rFonts w:ascii="Arial" w:eastAsia="Arial" w:hAnsi="Arial" w:cs="Arial"/>
          <w:i/>
          <w:color w:val="000000"/>
          <w:spacing w:val="-1"/>
          <w:sz w:val="14"/>
          <w:szCs w:val="14"/>
        </w:rPr>
        <w:tab/>
      </w:r>
    </w:p>
    <w:p w14:paraId="5295C1CC" w14:textId="32F3F7CF" w:rsidR="008216B6" w:rsidRDefault="008216B6" w:rsidP="008216B6">
      <w:pPr>
        <w:jc w:val="center"/>
        <w:rPr>
          <w:rFonts w:ascii="Times New Roman" w:hAnsi="Times New Roman" w:cs="Times New Roman"/>
          <w:b/>
          <w:bCs/>
          <w:sz w:val="32"/>
          <w:szCs w:val="32"/>
        </w:rPr>
      </w:pPr>
      <w:r w:rsidRPr="00C9330D">
        <w:rPr>
          <w:rFonts w:ascii="Times New Roman" w:hAnsi="Times New Roman" w:cs="Times New Roman"/>
          <w:b/>
          <w:bCs/>
          <w:sz w:val="32"/>
          <w:szCs w:val="32"/>
        </w:rPr>
        <w:t>VKCA: Driving Digital Transformation in a Chartered Accountancy Firm</w:t>
      </w:r>
    </w:p>
    <w:p w14:paraId="6F09FB1E" w14:textId="77777777" w:rsidR="00C9330D" w:rsidRPr="00255A95" w:rsidRDefault="00C9330D" w:rsidP="008216B6">
      <w:pPr>
        <w:jc w:val="center"/>
        <w:rPr>
          <w:rFonts w:ascii="Times New Roman" w:hAnsi="Times New Roman" w:cs="Times New Roman"/>
          <w:b/>
          <w:bCs/>
          <w:sz w:val="4"/>
          <w:szCs w:val="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75"/>
        <w:gridCol w:w="3780"/>
      </w:tblGrid>
      <w:tr w:rsidR="00C9330D" w14:paraId="48F2BE63" w14:textId="77777777" w:rsidTr="00C9330D">
        <w:trPr>
          <w:jc w:val="center"/>
        </w:trPr>
        <w:tc>
          <w:tcPr>
            <w:tcW w:w="3775" w:type="dxa"/>
          </w:tcPr>
          <w:p w14:paraId="39C93EF6" w14:textId="3808DF85" w:rsidR="00C9330D" w:rsidRPr="00C9330D" w:rsidRDefault="00C9330D" w:rsidP="00C9330D">
            <w:pPr>
              <w:jc w:val="center"/>
              <w:rPr>
                <w:rFonts w:cstheme="minorHAnsi"/>
                <w:b/>
                <w:i/>
                <w:iCs/>
                <w:sz w:val="16"/>
                <w:szCs w:val="16"/>
              </w:rPr>
            </w:pPr>
            <w:r w:rsidRPr="00C9330D">
              <w:rPr>
                <w:rFonts w:cstheme="minorHAnsi"/>
                <w:b/>
                <w:i/>
                <w:iCs/>
                <w:sz w:val="16"/>
                <w:szCs w:val="16"/>
              </w:rPr>
              <w:t xml:space="preserve">Anushka Deb Roy </w:t>
            </w:r>
          </w:p>
          <w:p w14:paraId="26B93334" w14:textId="77777777" w:rsidR="00C9330D" w:rsidRDefault="00C9330D" w:rsidP="00C9330D">
            <w:pPr>
              <w:jc w:val="center"/>
              <w:rPr>
                <w:rFonts w:cstheme="minorHAnsi"/>
                <w:sz w:val="16"/>
                <w:szCs w:val="16"/>
              </w:rPr>
            </w:pPr>
            <w:r w:rsidRPr="00C9330D">
              <w:rPr>
                <w:rFonts w:cstheme="minorHAnsi"/>
                <w:sz w:val="16"/>
                <w:szCs w:val="16"/>
              </w:rPr>
              <w:t xml:space="preserve">Student, Faculty of Management Studies, </w:t>
            </w:r>
          </w:p>
          <w:p w14:paraId="2E9AF2EE" w14:textId="77777777" w:rsidR="00C9330D" w:rsidRDefault="00C9330D" w:rsidP="00C9330D">
            <w:pPr>
              <w:jc w:val="center"/>
              <w:rPr>
                <w:rFonts w:cstheme="minorHAnsi"/>
                <w:sz w:val="16"/>
                <w:szCs w:val="16"/>
              </w:rPr>
            </w:pPr>
            <w:r w:rsidRPr="00C9330D">
              <w:rPr>
                <w:rFonts w:cstheme="minorHAnsi"/>
                <w:sz w:val="16"/>
                <w:szCs w:val="16"/>
              </w:rPr>
              <w:t xml:space="preserve">CMS Business School, </w:t>
            </w:r>
          </w:p>
          <w:p w14:paraId="0C0C556F" w14:textId="640F8A96" w:rsidR="00C9330D" w:rsidRPr="00C9330D" w:rsidRDefault="00C9330D" w:rsidP="00C9330D">
            <w:pPr>
              <w:jc w:val="center"/>
              <w:rPr>
                <w:rFonts w:cstheme="minorHAnsi"/>
                <w:sz w:val="16"/>
                <w:szCs w:val="16"/>
              </w:rPr>
            </w:pPr>
            <w:r w:rsidRPr="00C9330D">
              <w:rPr>
                <w:rFonts w:cstheme="minorHAnsi"/>
                <w:sz w:val="16"/>
                <w:szCs w:val="16"/>
              </w:rPr>
              <w:t>JAIN (Deemed-to-be University) Bangalore, India</w:t>
            </w:r>
          </w:p>
        </w:tc>
        <w:tc>
          <w:tcPr>
            <w:tcW w:w="3780" w:type="dxa"/>
          </w:tcPr>
          <w:p w14:paraId="29920E60" w14:textId="77777777" w:rsidR="00C9330D" w:rsidRPr="00C9330D" w:rsidRDefault="00C9330D" w:rsidP="00C9330D">
            <w:pPr>
              <w:jc w:val="center"/>
              <w:outlineLvl w:val="0"/>
              <w:rPr>
                <w:rFonts w:cstheme="minorHAnsi"/>
                <w:b/>
                <w:bCs/>
                <w:i/>
                <w:iCs/>
                <w:sz w:val="16"/>
                <w:szCs w:val="16"/>
              </w:rPr>
            </w:pPr>
            <w:r w:rsidRPr="00C9330D">
              <w:rPr>
                <w:rFonts w:cstheme="minorHAnsi"/>
                <w:b/>
                <w:i/>
                <w:iCs/>
                <w:sz w:val="16"/>
                <w:szCs w:val="16"/>
              </w:rPr>
              <w:t>Dr. Mansi Kukreja</w:t>
            </w:r>
            <w:r w:rsidRPr="00C9330D">
              <w:rPr>
                <w:rFonts w:cstheme="minorHAnsi"/>
                <w:b/>
                <w:bCs/>
                <w:i/>
                <w:iCs/>
                <w:sz w:val="16"/>
                <w:szCs w:val="16"/>
              </w:rPr>
              <w:t xml:space="preserve"> </w:t>
            </w:r>
          </w:p>
          <w:p w14:paraId="36D691D9" w14:textId="77777777" w:rsidR="00C9330D" w:rsidRDefault="00C9330D" w:rsidP="00C9330D">
            <w:pPr>
              <w:jc w:val="center"/>
              <w:outlineLvl w:val="0"/>
              <w:rPr>
                <w:rFonts w:cstheme="minorHAnsi"/>
                <w:sz w:val="16"/>
                <w:szCs w:val="16"/>
              </w:rPr>
            </w:pPr>
            <w:r w:rsidRPr="00C9330D">
              <w:rPr>
                <w:rFonts w:cstheme="minorHAnsi"/>
                <w:sz w:val="16"/>
                <w:szCs w:val="16"/>
              </w:rPr>
              <w:t xml:space="preserve">Professor, Faculty of Management Studies, </w:t>
            </w:r>
          </w:p>
          <w:p w14:paraId="3903DBAF" w14:textId="77777777" w:rsidR="00C9330D" w:rsidRDefault="00C9330D" w:rsidP="00C9330D">
            <w:pPr>
              <w:jc w:val="center"/>
              <w:outlineLvl w:val="0"/>
              <w:rPr>
                <w:rFonts w:cstheme="minorHAnsi"/>
                <w:sz w:val="16"/>
                <w:szCs w:val="16"/>
              </w:rPr>
            </w:pPr>
            <w:r w:rsidRPr="00C9330D">
              <w:rPr>
                <w:rFonts w:cstheme="minorHAnsi"/>
                <w:sz w:val="16"/>
                <w:szCs w:val="16"/>
              </w:rPr>
              <w:t xml:space="preserve">CMS Business School, </w:t>
            </w:r>
          </w:p>
          <w:p w14:paraId="503629E9" w14:textId="5B96889D" w:rsidR="00C9330D" w:rsidRPr="00C9330D" w:rsidRDefault="00C9330D" w:rsidP="00C9330D">
            <w:pPr>
              <w:jc w:val="center"/>
              <w:outlineLvl w:val="0"/>
              <w:rPr>
                <w:rFonts w:cstheme="minorHAnsi"/>
                <w:sz w:val="16"/>
                <w:szCs w:val="16"/>
              </w:rPr>
            </w:pPr>
            <w:r w:rsidRPr="00C9330D">
              <w:rPr>
                <w:rFonts w:cstheme="minorHAnsi"/>
                <w:sz w:val="16"/>
                <w:szCs w:val="16"/>
              </w:rPr>
              <w:t xml:space="preserve">JAIN (Deemed-to-be University) Bangalore, India. </w:t>
            </w:r>
          </w:p>
        </w:tc>
      </w:tr>
    </w:tbl>
    <w:p w14:paraId="71E7CEC6" w14:textId="77777777" w:rsidR="00C9330D" w:rsidRPr="00255A95" w:rsidRDefault="00C9330D" w:rsidP="008216B6">
      <w:pPr>
        <w:jc w:val="center"/>
        <w:rPr>
          <w:rFonts w:ascii="Times New Roman" w:hAnsi="Times New Roman" w:cs="Times New Roman"/>
          <w:b/>
          <w:bCs/>
          <w:sz w:val="16"/>
          <w:szCs w:val="16"/>
        </w:rPr>
      </w:pPr>
    </w:p>
    <w:p w14:paraId="7C42D407" w14:textId="77777777" w:rsidR="008216B6" w:rsidRPr="00C9330D" w:rsidRDefault="008216B6" w:rsidP="00C9330D">
      <w:pPr>
        <w:spacing w:after="120" w:line="240" w:lineRule="auto"/>
        <w:ind w:left="720" w:right="386"/>
        <w:jc w:val="center"/>
        <w:rPr>
          <w:rFonts w:ascii="Arial" w:hAnsi="Arial" w:cs="Arial"/>
          <w:b/>
          <w:bCs/>
          <w:i/>
          <w:iCs/>
          <w:sz w:val="18"/>
          <w:szCs w:val="18"/>
        </w:rPr>
      </w:pPr>
      <w:r w:rsidRPr="00C9330D">
        <w:rPr>
          <w:rFonts w:ascii="Arial" w:hAnsi="Arial" w:cs="Arial"/>
          <w:b/>
          <w:bCs/>
          <w:i/>
          <w:iCs/>
          <w:sz w:val="18"/>
          <w:szCs w:val="18"/>
        </w:rPr>
        <w:t>Abstract</w:t>
      </w:r>
    </w:p>
    <w:p w14:paraId="2ACD098E" w14:textId="77777777" w:rsidR="008216B6" w:rsidRPr="00C9330D" w:rsidRDefault="008216B6" w:rsidP="00C9330D">
      <w:pPr>
        <w:spacing w:after="120" w:line="240" w:lineRule="auto"/>
        <w:ind w:left="720" w:right="386"/>
        <w:jc w:val="both"/>
        <w:rPr>
          <w:rFonts w:ascii="Arial" w:hAnsi="Arial" w:cs="Arial"/>
          <w:sz w:val="18"/>
          <w:szCs w:val="18"/>
        </w:rPr>
      </w:pPr>
      <w:r w:rsidRPr="00C9330D">
        <w:rPr>
          <w:rFonts w:ascii="Arial" w:hAnsi="Arial" w:cs="Arial"/>
          <w:sz w:val="18"/>
          <w:szCs w:val="18"/>
        </w:rPr>
        <w:t>Vinay &amp; Keshava LLP (VKCA) is a multi-city Chartered Accountancy and advisory firm serving SMEs, corporates, and cross-border clients. Internship observations revealed reliance on manual onboarding, document handling, and reconciliations that extended GST and income tax return cycles. Manual processes increased error exposure and reduced client engagement, while client relationship management visibility was limited. This case diagnoses flat growth and extended turnaround times, proposing a digital transformation roadmap integrating compliance automation, cloud accounting platforms, CRM systems, and staff upskilling. It incorporates regulatory and industry guidance emphasizing digitization, data security, and auditability as foundations for scalable, trusted services. Governance artifacts and metrics translate technology adoption into cycle-time compression, improved accuracy, and enhanced client retention. Assumptions and limitations regarding data quality and implementation fidelity are noted.</w:t>
      </w:r>
    </w:p>
    <w:p w14:paraId="16F44D8D" w14:textId="77777777" w:rsidR="008216B6" w:rsidRPr="00C9330D" w:rsidRDefault="008216B6" w:rsidP="00C9330D">
      <w:pPr>
        <w:spacing w:after="120" w:line="240" w:lineRule="auto"/>
        <w:ind w:left="720" w:right="386"/>
        <w:jc w:val="both"/>
        <w:rPr>
          <w:rFonts w:ascii="Arial" w:hAnsi="Arial" w:cs="Arial"/>
          <w:sz w:val="18"/>
          <w:szCs w:val="18"/>
        </w:rPr>
      </w:pPr>
      <w:r w:rsidRPr="00C9330D">
        <w:rPr>
          <w:rFonts w:ascii="Arial" w:hAnsi="Arial" w:cs="Arial"/>
          <w:b/>
          <w:bCs/>
          <w:sz w:val="18"/>
          <w:szCs w:val="18"/>
        </w:rPr>
        <w:t>Keywords:</w:t>
      </w:r>
      <w:r w:rsidRPr="00C9330D">
        <w:rPr>
          <w:rFonts w:ascii="Arial" w:hAnsi="Arial" w:cs="Arial"/>
          <w:sz w:val="18"/>
          <w:szCs w:val="18"/>
        </w:rPr>
        <w:t xml:space="preserve"> Chartered Accountancy, GST, Compliance Automation, Cloud Accounting, CRM, Upskilling</w:t>
      </w:r>
    </w:p>
    <w:p w14:paraId="3F9916F7" w14:textId="77777777" w:rsidR="00C9330D" w:rsidRDefault="00C9330D" w:rsidP="008216B6">
      <w:pPr>
        <w:jc w:val="both"/>
        <w:rPr>
          <w:rFonts w:ascii="Times New Roman" w:hAnsi="Times New Roman" w:cs="Times New Roman"/>
          <w:b/>
          <w:bCs/>
          <w:sz w:val="24"/>
          <w:szCs w:val="24"/>
        </w:rPr>
      </w:pPr>
    </w:p>
    <w:p w14:paraId="4D70FB0D" w14:textId="77777777" w:rsidR="00C9330D" w:rsidRDefault="00C9330D" w:rsidP="008216B6">
      <w:pPr>
        <w:jc w:val="both"/>
        <w:rPr>
          <w:rFonts w:ascii="Arial" w:hAnsi="Arial" w:cs="Arial"/>
          <w:b/>
          <w:bCs/>
        </w:rPr>
        <w:sectPr w:rsidR="00C9330D" w:rsidSect="0030198B">
          <w:headerReference w:type="even" r:id="rId8"/>
          <w:headerReference w:type="default" r:id="rId9"/>
          <w:pgSz w:w="11906" w:h="16838" w:code="9"/>
          <w:pgMar w:top="1440" w:right="1440" w:bottom="1440" w:left="1440" w:header="1008" w:footer="720" w:gutter="0"/>
          <w:pgNumType w:start="24"/>
          <w:cols w:space="708"/>
          <w:docGrid w:linePitch="360"/>
        </w:sectPr>
      </w:pPr>
    </w:p>
    <w:p w14:paraId="354FE035" w14:textId="4773C6A9" w:rsidR="008216B6" w:rsidRPr="00C9330D" w:rsidRDefault="008216B6" w:rsidP="00C9330D">
      <w:pPr>
        <w:spacing w:after="120" w:line="276" w:lineRule="auto"/>
        <w:jc w:val="center"/>
        <w:rPr>
          <w:rFonts w:ascii="Arial" w:hAnsi="Arial" w:cs="Arial"/>
          <w:b/>
          <w:bCs/>
          <w:caps/>
        </w:rPr>
      </w:pPr>
      <w:r w:rsidRPr="00C9330D">
        <w:rPr>
          <w:rFonts w:ascii="Arial" w:hAnsi="Arial" w:cs="Arial"/>
          <w:b/>
          <w:bCs/>
          <w:caps/>
        </w:rPr>
        <w:t>Case Introduction</w:t>
      </w:r>
    </w:p>
    <w:p w14:paraId="54591DC1"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VKCA operates across multiple metropolitan hubs in India, delivering statutory compliance and advisory services. Despite strong credentials, manual onboarding and document management processes stretched GST and tax-filing cycles. The team's efforts were diluted by repetitive reconciliations and limited CRM visibility hampering cross-sell and retention initiatives. Regulatory reforms—such as GST digitization, mandatory e-invoicing, and faceless assessments—have accelerated compliance expectations, necessitating rapid organizational transformation.</w:t>
      </w:r>
    </w:p>
    <w:p w14:paraId="79D76068"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 xml:space="preserve">The central managerial challenge is to reduce turnaround times, minimize errors, and strengthen the advisory offering by developing an integrated digital core with aligned governance controls. An effective transition involves systematic automation, cloud-based document and accounting systems, and CRM-enabled </w:t>
      </w:r>
      <w:r w:rsidRPr="00C9330D">
        <w:rPr>
          <w:rFonts w:ascii="Arial" w:hAnsi="Arial" w:cs="Arial"/>
        </w:rPr>
        <w:t>client lifecycle management. Upskilling programs complement technology adoption to enhance workforce capabilities and change management.</w:t>
      </w:r>
    </w:p>
    <w:p w14:paraId="569A7A2E" w14:textId="77777777" w:rsidR="008216B6" w:rsidRPr="00255A95" w:rsidRDefault="008216B6" w:rsidP="00255A95">
      <w:pPr>
        <w:spacing w:after="120" w:line="276" w:lineRule="auto"/>
        <w:jc w:val="center"/>
        <w:rPr>
          <w:rFonts w:ascii="Arial" w:hAnsi="Arial" w:cs="Arial"/>
          <w:b/>
          <w:bCs/>
          <w:caps/>
        </w:rPr>
      </w:pPr>
      <w:r w:rsidRPr="00255A95">
        <w:rPr>
          <w:rFonts w:ascii="Arial" w:hAnsi="Arial" w:cs="Arial"/>
          <w:b/>
          <w:bCs/>
          <w:caps/>
        </w:rPr>
        <w:t>About the Industry</w:t>
      </w:r>
    </w:p>
    <w:p w14:paraId="7F4E0F0C"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India’s Chartered Accountancy sector is evolving rapidly with the rollout of GST, faceless assessments, e-invoicing mandates, and growing digital engagement requirements. Professional bodies including ICAI, MCA, and GST Council continuously update guidance on digital record-keeping, client data security, and audit processes. Firms face intense pressure to reduce manual intervention and elevate advisory services, leveraging emerging technologies.</w:t>
      </w:r>
    </w:p>
    <w:p w14:paraId="70A4457A"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 xml:space="preserve">Market reports highlight automation, cloud platforms, and analytics as critical levers for improving compliance speed and accuracy while enhancing client satisfaction and retention. Despite optimism, the industry grapples with talent </w:t>
      </w:r>
      <w:r w:rsidRPr="00C9330D">
        <w:rPr>
          <w:rFonts w:ascii="Arial" w:hAnsi="Arial" w:cs="Arial"/>
        </w:rPr>
        <w:lastRenderedPageBreak/>
        <w:t>shortages, data quality challenges, and client education gaps.</w:t>
      </w:r>
    </w:p>
    <w:p w14:paraId="690A5EEA" w14:textId="77777777" w:rsidR="008216B6" w:rsidRPr="00C9330D" w:rsidRDefault="008216B6" w:rsidP="00C9330D">
      <w:pPr>
        <w:spacing w:after="120" w:line="276" w:lineRule="auto"/>
        <w:jc w:val="both"/>
        <w:rPr>
          <w:rFonts w:ascii="Arial" w:hAnsi="Arial" w:cs="Arial"/>
        </w:rPr>
      </w:pPr>
      <w:r w:rsidRPr="00C9330D">
        <w:rPr>
          <w:rFonts w:ascii="Arial" w:hAnsi="Arial" w:cs="Arial"/>
        </w:rPr>
        <w:t>Governance frameworks emphasizing evidence-based workflows, layered approvals, and transparent reporting underpin competitive differentiation and regulatory compliance.</w:t>
      </w:r>
    </w:p>
    <w:p w14:paraId="4DE8321D" w14:textId="77777777" w:rsidR="008216B6" w:rsidRPr="00C9330D" w:rsidRDefault="008216B6" w:rsidP="00C9330D">
      <w:pPr>
        <w:spacing w:after="120" w:line="276" w:lineRule="auto"/>
        <w:jc w:val="both"/>
        <w:rPr>
          <w:rFonts w:ascii="Arial" w:hAnsi="Arial" w:cs="Arial"/>
          <w:b/>
          <w:bCs/>
        </w:rPr>
      </w:pPr>
      <w:r w:rsidRPr="00C9330D">
        <w:rPr>
          <w:rFonts w:ascii="Arial" w:hAnsi="Arial" w:cs="Arial"/>
          <w:b/>
          <w:bCs/>
        </w:rPr>
        <w:t>Problems Faced by the Industry</w:t>
      </w:r>
    </w:p>
    <w:p w14:paraId="5FD76D15"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The CA industry confronts challenges in meeting rapidly evolving tax regulations and digitally transforming legacy operations. Cross-system data gaps, manual reconciliations, and client onboarding inefficiencies prolong filing cycles. Cybersecurity concerns and the need for secure client portals compound operational complexities.</w:t>
      </w:r>
    </w:p>
    <w:p w14:paraId="6680A3B5" w14:textId="77777777" w:rsidR="008216B6" w:rsidRPr="00C9330D" w:rsidRDefault="008216B6" w:rsidP="00C9330D">
      <w:pPr>
        <w:spacing w:after="120" w:line="276" w:lineRule="auto"/>
        <w:jc w:val="both"/>
        <w:rPr>
          <w:rFonts w:ascii="Arial" w:hAnsi="Arial" w:cs="Arial"/>
        </w:rPr>
      </w:pPr>
      <w:r w:rsidRPr="00C9330D">
        <w:rPr>
          <w:rFonts w:ascii="Arial" w:hAnsi="Arial" w:cs="Arial"/>
        </w:rPr>
        <w:t>Key industry reviews emphasize:</w:t>
      </w:r>
    </w:p>
    <w:p w14:paraId="701531DD" w14:textId="77777777" w:rsidR="008216B6" w:rsidRPr="00C9330D" w:rsidRDefault="008216B6" w:rsidP="00C9330D">
      <w:pPr>
        <w:numPr>
          <w:ilvl w:val="0"/>
          <w:numId w:val="1"/>
        </w:numPr>
        <w:spacing w:after="120" w:line="276" w:lineRule="auto"/>
        <w:jc w:val="both"/>
        <w:rPr>
          <w:rFonts w:ascii="Arial" w:hAnsi="Arial" w:cs="Arial"/>
        </w:rPr>
      </w:pPr>
      <w:r w:rsidRPr="00C9330D">
        <w:rPr>
          <w:rFonts w:ascii="Arial" w:hAnsi="Arial" w:cs="Arial"/>
        </w:rPr>
        <w:t>Deloitte India (2023) underscores digital adoption as vital for compliance sustainability.</w:t>
      </w:r>
    </w:p>
    <w:p w14:paraId="7826E6B0" w14:textId="77777777" w:rsidR="008216B6" w:rsidRPr="00C9330D" w:rsidRDefault="008216B6" w:rsidP="00C9330D">
      <w:pPr>
        <w:numPr>
          <w:ilvl w:val="0"/>
          <w:numId w:val="1"/>
        </w:numPr>
        <w:spacing w:after="120" w:line="276" w:lineRule="auto"/>
        <w:jc w:val="both"/>
        <w:rPr>
          <w:rFonts w:ascii="Arial" w:hAnsi="Arial" w:cs="Arial"/>
        </w:rPr>
      </w:pPr>
      <w:r w:rsidRPr="00C9330D">
        <w:rPr>
          <w:rFonts w:ascii="Arial" w:hAnsi="Arial" w:cs="Arial"/>
        </w:rPr>
        <w:t>PwC India (2022) identifies automation and cloud-based accounting as accelerators for capacity building.</w:t>
      </w:r>
    </w:p>
    <w:p w14:paraId="076CF470" w14:textId="77777777" w:rsidR="008216B6" w:rsidRPr="00C9330D" w:rsidRDefault="008216B6" w:rsidP="00C9330D">
      <w:pPr>
        <w:numPr>
          <w:ilvl w:val="0"/>
          <w:numId w:val="1"/>
        </w:numPr>
        <w:spacing w:after="120" w:line="276" w:lineRule="auto"/>
        <w:jc w:val="both"/>
        <w:rPr>
          <w:rFonts w:ascii="Arial" w:hAnsi="Arial" w:cs="Arial"/>
        </w:rPr>
      </w:pPr>
      <w:r w:rsidRPr="00C9330D">
        <w:rPr>
          <w:rFonts w:ascii="Arial" w:hAnsi="Arial" w:cs="Arial"/>
        </w:rPr>
        <w:t>ICAI (2023) stresses audit readiness through robust governance and documentation.</w:t>
      </w:r>
    </w:p>
    <w:p w14:paraId="79EA21F5" w14:textId="77777777" w:rsidR="008216B6" w:rsidRPr="00C9330D" w:rsidRDefault="008216B6" w:rsidP="00C9330D">
      <w:pPr>
        <w:numPr>
          <w:ilvl w:val="0"/>
          <w:numId w:val="1"/>
        </w:numPr>
        <w:spacing w:after="120" w:line="276" w:lineRule="auto"/>
        <w:jc w:val="both"/>
        <w:rPr>
          <w:rFonts w:ascii="Arial" w:hAnsi="Arial" w:cs="Arial"/>
        </w:rPr>
      </w:pPr>
      <w:r w:rsidRPr="00C9330D">
        <w:rPr>
          <w:rFonts w:ascii="Arial" w:hAnsi="Arial" w:cs="Arial"/>
        </w:rPr>
        <w:t>Ministry of Corporate Affairs (2023) promotes faceless assessment frameworks to reduce human intervention.</w:t>
      </w:r>
    </w:p>
    <w:p w14:paraId="2625B9D4" w14:textId="77777777" w:rsidR="008216B6" w:rsidRPr="00C9330D" w:rsidRDefault="008216B6" w:rsidP="00C9330D">
      <w:pPr>
        <w:numPr>
          <w:ilvl w:val="0"/>
          <w:numId w:val="1"/>
        </w:numPr>
        <w:spacing w:after="120" w:line="276" w:lineRule="auto"/>
        <w:jc w:val="both"/>
        <w:rPr>
          <w:rFonts w:ascii="Arial" w:hAnsi="Arial" w:cs="Arial"/>
        </w:rPr>
      </w:pPr>
      <w:r w:rsidRPr="00C9330D">
        <w:rPr>
          <w:rFonts w:ascii="Arial" w:hAnsi="Arial" w:cs="Arial"/>
        </w:rPr>
        <w:t>GST Council (2023) advocates standardized e-invoicing and client data formats to streamline compliance.</w:t>
      </w:r>
    </w:p>
    <w:p w14:paraId="1056BD61" w14:textId="77777777" w:rsidR="008216B6" w:rsidRPr="00C9330D" w:rsidRDefault="008216B6" w:rsidP="00C9330D">
      <w:pPr>
        <w:spacing w:after="120" w:line="276" w:lineRule="auto"/>
        <w:ind w:firstLine="360"/>
        <w:jc w:val="both"/>
        <w:rPr>
          <w:rFonts w:ascii="Arial" w:hAnsi="Arial" w:cs="Arial"/>
        </w:rPr>
      </w:pPr>
      <w:r w:rsidRPr="00C9330D">
        <w:rPr>
          <w:rFonts w:ascii="Arial" w:hAnsi="Arial" w:cs="Arial"/>
        </w:rPr>
        <w:t>Collectively, these outputs indicate a pressing need for integrated digital and procedural transformation in CA practices.</w:t>
      </w:r>
    </w:p>
    <w:p w14:paraId="6AABF107" w14:textId="77777777" w:rsidR="008216B6" w:rsidRPr="00C9330D" w:rsidRDefault="008216B6" w:rsidP="00C9330D">
      <w:pPr>
        <w:spacing w:after="120" w:line="276" w:lineRule="auto"/>
        <w:jc w:val="both"/>
        <w:rPr>
          <w:rFonts w:ascii="Arial" w:hAnsi="Arial" w:cs="Arial"/>
          <w:b/>
          <w:bCs/>
        </w:rPr>
      </w:pPr>
      <w:r w:rsidRPr="00C9330D">
        <w:rPr>
          <w:rFonts w:ascii="Arial" w:hAnsi="Arial" w:cs="Arial"/>
          <w:b/>
          <w:bCs/>
        </w:rPr>
        <w:t>About the Company</w:t>
      </w:r>
    </w:p>
    <w:p w14:paraId="614A7B9F"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 xml:space="preserve">VKCA exemplifies a growing mid-sized CA firm managing a diverse client base including SMEs and multi-national </w:t>
      </w:r>
      <w:r w:rsidRPr="00C9330D">
        <w:rPr>
          <w:rFonts w:ascii="Arial" w:hAnsi="Arial" w:cs="Arial"/>
        </w:rPr>
        <w:t>corporations. The firm retains an accomplished talent pool but operated legacy manual workflows for client onboarding, document collation, and GST/TDS reconciliations across locations. These processes relied heavily on Excel spreadsheets and email communications leading to inconsistent data capture, increased errors, and extended turnaround times.</w:t>
      </w:r>
    </w:p>
    <w:p w14:paraId="01757A0D"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A culture of reactive firefighting and low CRM utilization limited client insight and cross-selling. To address these constraints, leadership envisaged a staged digital transformation, introducing cloud-based accounting software, integrated CRM for onboarding and renewals, compliance automation tools, and structured workforce upskilling.</w:t>
      </w:r>
    </w:p>
    <w:p w14:paraId="12D7FECC" w14:textId="77777777" w:rsidR="008216B6" w:rsidRPr="00C9330D" w:rsidRDefault="008216B6" w:rsidP="00C9330D">
      <w:pPr>
        <w:spacing w:after="120" w:line="276" w:lineRule="auto"/>
        <w:jc w:val="both"/>
        <w:rPr>
          <w:rFonts w:ascii="Arial" w:hAnsi="Arial" w:cs="Arial"/>
          <w:b/>
          <w:bCs/>
        </w:rPr>
      </w:pPr>
      <w:r w:rsidRPr="00C9330D">
        <w:rPr>
          <w:rFonts w:ascii="Arial" w:hAnsi="Arial" w:cs="Arial"/>
          <w:b/>
          <w:bCs/>
        </w:rPr>
        <w:t>Problems Faced by the Company</w:t>
      </w:r>
    </w:p>
    <w:p w14:paraId="035682D3"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VKCA faced prolonged GST filing cycles due to manual data extraction and reconciliation tasks compounded by inconsistent client document submissions. Error rates rose owing to manual spreadsheets and disconnected client records, generating workflow bottlenecks and audit risks. Fragmented communication channels and limited CRM functionality hindered client engagement and retention initiatives.</w:t>
      </w:r>
    </w:p>
    <w:p w14:paraId="28E585CC" w14:textId="77777777" w:rsidR="008216B6" w:rsidRPr="00C9330D" w:rsidRDefault="008216B6" w:rsidP="00C9330D">
      <w:pPr>
        <w:spacing w:after="120" w:line="276" w:lineRule="auto"/>
        <w:jc w:val="both"/>
        <w:rPr>
          <w:rFonts w:ascii="Arial" w:hAnsi="Arial" w:cs="Arial"/>
        </w:rPr>
      </w:pPr>
      <w:r w:rsidRPr="00C9330D">
        <w:rPr>
          <w:rFonts w:ascii="Arial" w:hAnsi="Arial" w:cs="Arial"/>
        </w:rPr>
        <w:t>Supporting insights from research include:</w:t>
      </w:r>
    </w:p>
    <w:p w14:paraId="084ABA98" w14:textId="77777777" w:rsidR="008216B6" w:rsidRPr="00C9330D" w:rsidRDefault="008216B6" w:rsidP="00C9330D">
      <w:pPr>
        <w:numPr>
          <w:ilvl w:val="0"/>
          <w:numId w:val="2"/>
        </w:numPr>
        <w:tabs>
          <w:tab w:val="clear" w:pos="720"/>
        </w:tabs>
        <w:spacing w:after="120" w:line="276" w:lineRule="auto"/>
        <w:ind w:left="360"/>
        <w:jc w:val="both"/>
        <w:rPr>
          <w:rFonts w:ascii="Arial" w:hAnsi="Arial" w:cs="Arial"/>
        </w:rPr>
      </w:pPr>
      <w:r w:rsidRPr="00C9330D">
        <w:rPr>
          <w:rFonts w:ascii="Arial" w:hAnsi="Arial" w:cs="Arial"/>
        </w:rPr>
        <w:t>ICAI (2023) recommending compliance automation to enhance accuracy and reduce manual intervention.</w:t>
      </w:r>
    </w:p>
    <w:p w14:paraId="35E4FC06" w14:textId="77777777" w:rsidR="008216B6" w:rsidRPr="00C9330D" w:rsidRDefault="008216B6" w:rsidP="00C9330D">
      <w:pPr>
        <w:numPr>
          <w:ilvl w:val="0"/>
          <w:numId w:val="2"/>
        </w:numPr>
        <w:tabs>
          <w:tab w:val="clear" w:pos="720"/>
        </w:tabs>
        <w:spacing w:after="120" w:line="276" w:lineRule="auto"/>
        <w:ind w:left="360"/>
        <w:jc w:val="both"/>
        <w:rPr>
          <w:rFonts w:ascii="Arial" w:hAnsi="Arial" w:cs="Arial"/>
        </w:rPr>
      </w:pPr>
      <w:r w:rsidRPr="00C9330D">
        <w:rPr>
          <w:rFonts w:ascii="Arial" w:hAnsi="Arial" w:cs="Arial"/>
        </w:rPr>
        <w:t>Deloitte (2023) emphasizing the role of cloud platforms in enabling workflow integration and scalability.</w:t>
      </w:r>
    </w:p>
    <w:p w14:paraId="2CA5471D" w14:textId="77777777" w:rsidR="008216B6" w:rsidRPr="00C9330D" w:rsidRDefault="008216B6" w:rsidP="00C9330D">
      <w:pPr>
        <w:numPr>
          <w:ilvl w:val="0"/>
          <w:numId w:val="2"/>
        </w:numPr>
        <w:tabs>
          <w:tab w:val="clear" w:pos="720"/>
        </w:tabs>
        <w:spacing w:after="120" w:line="276" w:lineRule="auto"/>
        <w:ind w:left="360"/>
        <w:jc w:val="both"/>
        <w:rPr>
          <w:rFonts w:ascii="Arial" w:hAnsi="Arial" w:cs="Arial"/>
        </w:rPr>
      </w:pPr>
      <w:r w:rsidRPr="00C9330D">
        <w:rPr>
          <w:rFonts w:ascii="Arial" w:hAnsi="Arial" w:cs="Arial"/>
        </w:rPr>
        <w:t>PwC India (2022) documenting talent development as integral to digital adoption success.</w:t>
      </w:r>
    </w:p>
    <w:p w14:paraId="5BA5E5EC" w14:textId="77777777" w:rsidR="008216B6" w:rsidRPr="00C9330D" w:rsidRDefault="008216B6" w:rsidP="00C9330D">
      <w:pPr>
        <w:numPr>
          <w:ilvl w:val="0"/>
          <w:numId w:val="2"/>
        </w:numPr>
        <w:tabs>
          <w:tab w:val="clear" w:pos="720"/>
        </w:tabs>
        <w:spacing w:after="120" w:line="276" w:lineRule="auto"/>
        <w:ind w:left="360"/>
        <w:jc w:val="both"/>
        <w:rPr>
          <w:rFonts w:ascii="Arial" w:hAnsi="Arial" w:cs="Arial"/>
        </w:rPr>
      </w:pPr>
      <w:r w:rsidRPr="00C9330D">
        <w:rPr>
          <w:rFonts w:ascii="Arial" w:hAnsi="Arial" w:cs="Arial"/>
        </w:rPr>
        <w:t>Ministry of Corporate Affairs (2023) focusing on governance frameworks to secure client data.</w:t>
      </w:r>
    </w:p>
    <w:p w14:paraId="06726608" w14:textId="77777777" w:rsidR="008216B6" w:rsidRPr="00C9330D" w:rsidRDefault="008216B6" w:rsidP="00C9330D">
      <w:pPr>
        <w:numPr>
          <w:ilvl w:val="0"/>
          <w:numId w:val="2"/>
        </w:numPr>
        <w:tabs>
          <w:tab w:val="clear" w:pos="720"/>
        </w:tabs>
        <w:spacing w:after="120" w:line="276" w:lineRule="auto"/>
        <w:ind w:left="360"/>
        <w:jc w:val="both"/>
        <w:rPr>
          <w:rFonts w:ascii="Arial" w:hAnsi="Arial" w:cs="Arial"/>
        </w:rPr>
      </w:pPr>
      <w:r w:rsidRPr="00C9330D">
        <w:rPr>
          <w:rFonts w:ascii="Arial" w:hAnsi="Arial" w:cs="Arial"/>
        </w:rPr>
        <w:lastRenderedPageBreak/>
        <w:t>GST Council (2023) highlighting standardized data models to ease reconciliation burden.</w:t>
      </w:r>
    </w:p>
    <w:p w14:paraId="6DC0E578"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Addressing these intertwined challenges requires harmonized process reengineering, technology enablement, and human capital investment.</w:t>
      </w:r>
    </w:p>
    <w:p w14:paraId="1C301F03" w14:textId="77777777" w:rsidR="008216B6" w:rsidRPr="00C9330D" w:rsidRDefault="008216B6" w:rsidP="00C9330D">
      <w:pPr>
        <w:spacing w:after="120" w:line="276" w:lineRule="auto"/>
        <w:jc w:val="center"/>
        <w:rPr>
          <w:rFonts w:ascii="Arial" w:hAnsi="Arial" w:cs="Arial"/>
          <w:b/>
          <w:bCs/>
          <w:caps/>
        </w:rPr>
      </w:pPr>
      <w:r w:rsidRPr="00C9330D">
        <w:rPr>
          <w:rFonts w:ascii="Arial" w:hAnsi="Arial" w:cs="Arial"/>
          <w:b/>
          <w:bCs/>
          <w:caps/>
        </w:rPr>
        <w:t>Academic Learning</w:t>
      </w:r>
    </w:p>
    <w:p w14:paraId="7D2277A6"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This case challenges students to design a comprehensive digital transformation plan for CA firms covering:</w:t>
      </w:r>
    </w:p>
    <w:p w14:paraId="2E551909" w14:textId="77777777" w:rsidR="008216B6" w:rsidRPr="00C9330D" w:rsidRDefault="008216B6" w:rsidP="00C9330D">
      <w:pPr>
        <w:numPr>
          <w:ilvl w:val="0"/>
          <w:numId w:val="3"/>
        </w:numPr>
        <w:tabs>
          <w:tab w:val="clear" w:pos="720"/>
        </w:tabs>
        <w:spacing w:after="120" w:line="276" w:lineRule="auto"/>
        <w:ind w:left="360"/>
        <w:jc w:val="both"/>
        <w:rPr>
          <w:rFonts w:ascii="Arial" w:hAnsi="Arial" w:cs="Arial"/>
        </w:rPr>
      </w:pPr>
      <w:r w:rsidRPr="00C9330D">
        <w:rPr>
          <w:rFonts w:ascii="Arial" w:hAnsi="Arial" w:cs="Arial"/>
        </w:rPr>
        <w:t>Automated compliance workflows spanning GST and TDS returns with audit trails.</w:t>
      </w:r>
    </w:p>
    <w:p w14:paraId="11AE4052" w14:textId="77777777" w:rsidR="008216B6" w:rsidRPr="00C9330D" w:rsidRDefault="008216B6" w:rsidP="00C9330D">
      <w:pPr>
        <w:numPr>
          <w:ilvl w:val="0"/>
          <w:numId w:val="3"/>
        </w:numPr>
        <w:tabs>
          <w:tab w:val="clear" w:pos="720"/>
        </w:tabs>
        <w:spacing w:after="120" w:line="276" w:lineRule="auto"/>
        <w:ind w:left="360"/>
        <w:jc w:val="both"/>
        <w:rPr>
          <w:rFonts w:ascii="Arial" w:hAnsi="Arial" w:cs="Arial"/>
        </w:rPr>
      </w:pPr>
      <w:r w:rsidRPr="00C9330D">
        <w:rPr>
          <w:rFonts w:ascii="Arial" w:hAnsi="Arial" w:cs="Arial"/>
        </w:rPr>
        <w:t>Cloud accounting architecture ensuring real-time document management and version control.</w:t>
      </w:r>
    </w:p>
    <w:p w14:paraId="64E6394B" w14:textId="77777777" w:rsidR="008216B6" w:rsidRPr="00C9330D" w:rsidRDefault="008216B6" w:rsidP="00C9330D">
      <w:pPr>
        <w:numPr>
          <w:ilvl w:val="0"/>
          <w:numId w:val="3"/>
        </w:numPr>
        <w:tabs>
          <w:tab w:val="clear" w:pos="720"/>
        </w:tabs>
        <w:spacing w:after="120" w:line="276" w:lineRule="auto"/>
        <w:ind w:left="360"/>
        <w:jc w:val="both"/>
        <w:rPr>
          <w:rFonts w:ascii="Arial" w:hAnsi="Arial" w:cs="Arial"/>
        </w:rPr>
      </w:pPr>
      <w:r w:rsidRPr="00C9330D">
        <w:rPr>
          <w:rFonts w:ascii="Arial" w:hAnsi="Arial" w:cs="Arial"/>
        </w:rPr>
        <w:t>CRM-based client lifecycle management linking onboarding, service delivery, and renewal.</w:t>
      </w:r>
    </w:p>
    <w:p w14:paraId="6F30D23A" w14:textId="77777777" w:rsidR="008216B6" w:rsidRPr="00C9330D" w:rsidRDefault="008216B6" w:rsidP="00C9330D">
      <w:pPr>
        <w:numPr>
          <w:ilvl w:val="0"/>
          <w:numId w:val="3"/>
        </w:numPr>
        <w:tabs>
          <w:tab w:val="clear" w:pos="720"/>
        </w:tabs>
        <w:spacing w:after="120" w:line="276" w:lineRule="auto"/>
        <w:ind w:left="360"/>
        <w:jc w:val="both"/>
        <w:rPr>
          <w:rFonts w:ascii="Arial" w:hAnsi="Arial" w:cs="Arial"/>
        </w:rPr>
      </w:pPr>
      <w:r w:rsidRPr="00C9330D">
        <w:rPr>
          <w:rFonts w:ascii="Arial" w:hAnsi="Arial" w:cs="Arial"/>
        </w:rPr>
        <w:t>Workforce upskilling and change management frameworks supporting technology adoption and cultural alignment.</w:t>
      </w:r>
    </w:p>
    <w:p w14:paraId="3EFDEF0F"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Outputs include process maps, control matrices pinpointing evidence artifacts and roles, and KPI dashboards tracking turnaround, error rates, and retention metrics.</w:t>
      </w:r>
    </w:p>
    <w:p w14:paraId="2EC8F32F" w14:textId="77777777" w:rsidR="008216B6" w:rsidRPr="00C9330D" w:rsidRDefault="008216B6" w:rsidP="00C9330D">
      <w:pPr>
        <w:spacing w:after="120" w:line="276" w:lineRule="auto"/>
        <w:jc w:val="center"/>
        <w:rPr>
          <w:rFonts w:ascii="Arial" w:hAnsi="Arial" w:cs="Arial"/>
          <w:b/>
          <w:bCs/>
          <w:caps/>
        </w:rPr>
      </w:pPr>
      <w:r w:rsidRPr="00C9330D">
        <w:rPr>
          <w:rFonts w:ascii="Arial" w:hAnsi="Arial" w:cs="Arial"/>
          <w:b/>
          <w:bCs/>
          <w:caps/>
        </w:rPr>
        <w:t>Conclusion</w:t>
      </w:r>
    </w:p>
    <w:p w14:paraId="6E2618A7"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Digital transformation in CA practices is now indispensable for operational sustainability and growth. VKCA’s case highlights that integrating automation, cloud collaboration, and CRM-enabled client engagement underpinned by stringent governance and upskilling fosters cycle-time reduction, error mitigation, and improved client experience.</w:t>
      </w:r>
    </w:p>
    <w:p w14:paraId="468CC2EB" w14:textId="77777777" w:rsidR="008216B6" w:rsidRPr="00C9330D" w:rsidRDefault="008216B6" w:rsidP="00C9330D">
      <w:pPr>
        <w:spacing w:after="120" w:line="276" w:lineRule="auto"/>
        <w:ind w:firstLine="720"/>
        <w:jc w:val="both"/>
        <w:rPr>
          <w:rFonts w:ascii="Arial" w:hAnsi="Arial" w:cs="Arial"/>
        </w:rPr>
      </w:pPr>
      <w:r w:rsidRPr="00C9330D">
        <w:rPr>
          <w:rFonts w:ascii="Arial" w:hAnsi="Arial" w:cs="Arial"/>
        </w:rPr>
        <w:t xml:space="preserve">A transparent KPI framework paired with a structured review cadence sustains </w:t>
      </w:r>
      <w:r w:rsidRPr="00C9330D">
        <w:rPr>
          <w:rFonts w:ascii="Arial" w:hAnsi="Arial" w:cs="Arial"/>
        </w:rPr>
        <w:t>gains and strengthens market competitiveness. However, leadership must remain vigilant on implementation fidelity, data quality, and continuous innovation to navigate complexity in India’s evolving regulatory and digital landscape.</w:t>
      </w:r>
    </w:p>
    <w:p w14:paraId="211E7BC7" w14:textId="77777777" w:rsidR="008216B6" w:rsidRPr="00C9330D" w:rsidRDefault="008216B6" w:rsidP="00C9330D">
      <w:pPr>
        <w:spacing w:after="120" w:line="276" w:lineRule="auto"/>
        <w:ind w:firstLine="720"/>
        <w:jc w:val="center"/>
        <w:rPr>
          <w:rFonts w:ascii="Arial" w:hAnsi="Arial" w:cs="Arial"/>
          <w:b/>
          <w:bCs/>
          <w:caps/>
        </w:rPr>
      </w:pPr>
      <w:r w:rsidRPr="00C9330D">
        <w:rPr>
          <w:rFonts w:ascii="Arial" w:hAnsi="Arial" w:cs="Arial"/>
          <w:b/>
          <w:bCs/>
          <w:caps/>
        </w:rPr>
        <w:t>Case Questions</w:t>
      </w:r>
    </w:p>
    <w:p w14:paraId="297F42EF" w14:textId="77777777" w:rsidR="008216B6" w:rsidRPr="00C9330D" w:rsidRDefault="008216B6" w:rsidP="00C9330D">
      <w:pPr>
        <w:numPr>
          <w:ilvl w:val="0"/>
          <w:numId w:val="4"/>
        </w:numPr>
        <w:spacing w:after="120" w:line="276" w:lineRule="auto"/>
        <w:jc w:val="both"/>
        <w:rPr>
          <w:rFonts w:ascii="Arial" w:hAnsi="Arial" w:cs="Arial"/>
        </w:rPr>
      </w:pPr>
      <w:r w:rsidRPr="00C9330D">
        <w:rPr>
          <w:rFonts w:ascii="Arial" w:hAnsi="Arial" w:cs="Arial"/>
        </w:rPr>
        <w:t>Design an automated GST/TDS compliance workflow with maker-checker controls and audit trails.</w:t>
      </w:r>
    </w:p>
    <w:p w14:paraId="123782CC" w14:textId="77777777" w:rsidR="008216B6" w:rsidRPr="00C9330D" w:rsidRDefault="008216B6" w:rsidP="00C9330D">
      <w:pPr>
        <w:numPr>
          <w:ilvl w:val="0"/>
          <w:numId w:val="4"/>
        </w:numPr>
        <w:spacing w:after="120" w:line="276" w:lineRule="auto"/>
        <w:jc w:val="both"/>
        <w:rPr>
          <w:rFonts w:ascii="Arial" w:hAnsi="Arial" w:cs="Arial"/>
        </w:rPr>
      </w:pPr>
      <w:r w:rsidRPr="00C9330D">
        <w:rPr>
          <w:rFonts w:ascii="Arial" w:hAnsi="Arial" w:cs="Arial"/>
        </w:rPr>
        <w:t>Propose a cloud accounting and document management architecture with role-based access security.</w:t>
      </w:r>
    </w:p>
    <w:p w14:paraId="76A199E2" w14:textId="77777777" w:rsidR="008216B6" w:rsidRPr="00C9330D" w:rsidRDefault="008216B6" w:rsidP="00C9330D">
      <w:pPr>
        <w:numPr>
          <w:ilvl w:val="0"/>
          <w:numId w:val="4"/>
        </w:numPr>
        <w:spacing w:after="120" w:line="276" w:lineRule="auto"/>
        <w:jc w:val="both"/>
        <w:rPr>
          <w:rFonts w:ascii="Arial" w:hAnsi="Arial" w:cs="Arial"/>
        </w:rPr>
      </w:pPr>
      <w:r w:rsidRPr="00C9330D">
        <w:rPr>
          <w:rFonts w:ascii="Arial" w:hAnsi="Arial" w:cs="Arial"/>
        </w:rPr>
        <w:t>Outline a CRM-driven client lifecycle process emphasizing onboarding, renewals, and analytics for cross-selling.</w:t>
      </w:r>
    </w:p>
    <w:p w14:paraId="309961C6" w14:textId="77777777" w:rsidR="008216B6" w:rsidRPr="00C9330D" w:rsidRDefault="008216B6" w:rsidP="00C9330D">
      <w:pPr>
        <w:numPr>
          <w:ilvl w:val="0"/>
          <w:numId w:val="4"/>
        </w:numPr>
        <w:spacing w:after="120" w:line="276" w:lineRule="auto"/>
        <w:jc w:val="both"/>
        <w:rPr>
          <w:rFonts w:ascii="Arial" w:hAnsi="Arial" w:cs="Arial"/>
        </w:rPr>
      </w:pPr>
      <w:r w:rsidRPr="00C9330D">
        <w:rPr>
          <w:rFonts w:ascii="Arial" w:hAnsi="Arial" w:cs="Arial"/>
        </w:rPr>
        <w:t>Develop a workforce training and change-management plan facilitating adoption of new systems and workflows.</w:t>
      </w:r>
    </w:p>
    <w:p w14:paraId="0748A759" w14:textId="77777777" w:rsidR="008216B6" w:rsidRPr="00C9330D" w:rsidRDefault="008216B6" w:rsidP="00C9330D">
      <w:pPr>
        <w:spacing w:after="120" w:line="276" w:lineRule="auto"/>
        <w:jc w:val="center"/>
        <w:rPr>
          <w:rFonts w:ascii="Arial" w:hAnsi="Arial" w:cs="Arial"/>
          <w:b/>
          <w:bCs/>
          <w:caps/>
        </w:rPr>
      </w:pPr>
      <w:r w:rsidRPr="00C9330D">
        <w:rPr>
          <w:rFonts w:ascii="Arial" w:hAnsi="Arial" w:cs="Arial"/>
          <w:b/>
          <w:bCs/>
          <w:caps/>
        </w:rPr>
        <w:t>References</w:t>
      </w:r>
    </w:p>
    <w:p w14:paraId="0948C093" w14:textId="77777777" w:rsidR="008216B6" w:rsidRPr="00C9330D" w:rsidRDefault="008216B6" w:rsidP="000F3C85">
      <w:pPr>
        <w:spacing w:after="120" w:line="240" w:lineRule="auto"/>
        <w:ind w:left="720" w:hanging="630"/>
        <w:jc w:val="both"/>
        <w:rPr>
          <w:rFonts w:ascii="Arial" w:hAnsi="Arial" w:cs="Arial"/>
        </w:rPr>
      </w:pPr>
      <w:r w:rsidRPr="00C9330D">
        <w:rPr>
          <w:rFonts w:ascii="Arial" w:hAnsi="Arial" w:cs="Arial"/>
        </w:rPr>
        <w:t>Deb Roy, A. (2025). VKCA: Driving digital transformation in a Chartered Accountancy firm (Unpublished internship case study).</w:t>
      </w:r>
    </w:p>
    <w:p w14:paraId="47108691" w14:textId="77777777" w:rsidR="008216B6" w:rsidRPr="00C9330D" w:rsidRDefault="008216B6" w:rsidP="000F3C85">
      <w:pPr>
        <w:spacing w:after="120" w:line="240" w:lineRule="auto"/>
        <w:ind w:left="720" w:hanging="630"/>
        <w:jc w:val="both"/>
        <w:rPr>
          <w:rFonts w:ascii="Arial" w:hAnsi="Arial" w:cs="Arial"/>
        </w:rPr>
      </w:pPr>
      <w:r w:rsidRPr="00C9330D">
        <w:rPr>
          <w:rFonts w:ascii="Arial" w:hAnsi="Arial" w:cs="Arial"/>
        </w:rPr>
        <w:t>Deloitte. (2023). The future of tax and accounting in India: Digitisation and compliance challenges.</w:t>
      </w:r>
    </w:p>
    <w:p w14:paraId="6007473C" w14:textId="77777777" w:rsidR="008216B6" w:rsidRPr="00C9330D" w:rsidRDefault="008216B6" w:rsidP="000F3C85">
      <w:pPr>
        <w:spacing w:after="120" w:line="240" w:lineRule="auto"/>
        <w:ind w:left="720" w:hanging="630"/>
        <w:jc w:val="both"/>
        <w:rPr>
          <w:rFonts w:ascii="Arial" w:hAnsi="Arial" w:cs="Arial"/>
        </w:rPr>
      </w:pPr>
      <w:r w:rsidRPr="00C9330D">
        <w:rPr>
          <w:rFonts w:ascii="Arial" w:hAnsi="Arial" w:cs="Arial"/>
        </w:rPr>
        <w:t>Institute of Chartered Accountants of India. (2023). Digital practices and guidance for members.</w:t>
      </w:r>
    </w:p>
    <w:p w14:paraId="1244AB7B" w14:textId="77777777" w:rsidR="008216B6" w:rsidRPr="00C9330D" w:rsidRDefault="008216B6" w:rsidP="000F3C85">
      <w:pPr>
        <w:spacing w:after="120" w:line="240" w:lineRule="auto"/>
        <w:ind w:left="720" w:hanging="630"/>
        <w:jc w:val="both"/>
        <w:rPr>
          <w:rFonts w:ascii="Arial" w:hAnsi="Arial" w:cs="Arial"/>
        </w:rPr>
      </w:pPr>
      <w:r w:rsidRPr="00C9330D">
        <w:rPr>
          <w:rFonts w:ascii="Arial" w:hAnsi="Arial" w:cs="Arial"/>
        </w:rPr>
        <w:t>Ministry of Corporate Affairs. (2023). Digital filings and corporate compliance updates.</w:t>
      </w:r>
    </w:p>
    <w:p w14:paraId="6F7349A0" w14:textId="77777777" w:rsidR="008216B6" w:rsidRPr="00C9330D" w:rsidRDefault="008216B6" w:rsidP="000F3C85">
      <w:pPr>
        <w:spacing w:after="120" w:line="240" w:lineRule="auto"/>
        <w:ind w:left="720" w:hanging="630"/>
        <w:jc w:val="both"/>
        <w:rPr>
          <w:rFonts w:ascii="Arial" w:hAnsi="Arial" w:cs="Arial"/>
        </w:rPr>
      </w:pPr>
      <w:r w:rsidRPr="00C9330D">
        <w:rPr>
          <w:rFonts w:ascii="Arial" w:hAnsi="Arial" w:cs="Arial"/>
        </w:rPr>
        <w:t>PwC India. (2022). Accounting firms in India: Technology adoption and talent transformation.</w:t>
      </w:r>
    </w:p>
    <w:p w14:paraId="025BED2E" w14:textId="48340398" w:rsidR="00C9330D" w:rsidRPr="000F3C85" w:rsidRDefault="008216B6" w:rsidP="000F3C85">
      <w:pPr>
        <w:spacing w:after="120" w:line="240" w:lineRule="auto"/>
        <w:ind w:left="720" w:hanging="630"/>
        <w:jc w:val="both"/>
        <w:rPr>
          <w:rFonts w:ascii="Arial" w:hAnsi="Arial" w:cs="Arial"/>
        </w:rPr>
        <w:sectPr w:rsidR="00C9330D" w:rsidRPr="000F3C85" w:rsidSect="0030198B">
          <w:headerReference w:type="default" r:id="rId10"/>
          <w:type w:val="continuous"/>
          <w:pgSz w:w="11906" w:h="16838"/>
          <w:pgMar w:top="1440" w:right="1440" w:bottom="1440" w:left="1440" w:header="1008" w:footer="708" w:gutter="0"/>
          <w:cols w:num="2" w:space="708"/>
          <w:docGrid w:linePitch="360"/>
        </w:sectPr>
      </w:pPr>
      <w:r w:rsidRPr="00C9330D">
        <w:rPr>
          <w:rFonts w:ascii="Arial" w:hAnsi="Arial" w:cs="Arial"/>
        </w:rPr>
        <w:t>GST Council. (2023). E-invoicing and GST portal update</w:t>
      </w:r>
    </w:p>
    <w:p w14:paraId="0619B8CA" w14:textId="77777777" w:rsidR="00853FEB" w:rsidRPr="008216B6" w:rsidRDefault="00853FEB" w:rsidP="008216B6">
      <w:pPr>
        <w:jc w:val="both"/>
        <w:rPr>
          <w:rFonts w:ascii="Times New Roman" w:hAnsi="Times New Roman" w:cs="Times New Roman"/>
          <w:sz w:val="24"/>
          <w:szCs w:val="24"/>
        </w:rPr>
      </w:pPr>
    </w:p>
    <w:sectPr w:rsidR="00853FEB" w:rsidRPr="008216B6" w:rsidSect="00C9330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C0C13A" w14:textId="77777777" w:rsidR="009C6112" w:rsidRDefault="009C6112" w:rsidP="0030198B">
      <w:pPr>
        <w:spacing w:after="0" w:line="240" w:lineRule="auto"/>
      </w:pPr>
      <w:r>
        <w:separator/>
      </w:r>
    </w:p>
  </w:endnote>
  <w:endnote w:type="continuationSeparator" w:id="0">
    <w:p w14:paraId="22F99D4A" w14:textId="77777777" w:rsidR="009C6112" w:rsidRDefault="009C6112" w:rsidP="003019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A7388" w14:textId="77777777" w:rsidR="009C6112" w:rsidRDefault="009C6112" w:rsidP="0030198B">
      <w:pPr>
        <w:spacing w:after="0" w:line="240" w:lineRule="auto"/>
      </w:pPr>
      <w:r>
        <w:separator/>
      </w:r>
    </w:p>
  </w:footnote>
  <w:footnote w:type="continuationSeparator" w:id="0">
    <w:p w14:paraId="02524F72" w14:textId="77777777" w:rsidR="009C6112" w:rsidRDefault="009C6112" w:rsidP="003019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74D55" w14:textId="251B6A88" w:rsidR="0030198B" w:rsidRPr="0030198B" w:rsidRDefault="0030198B" w:rsidP="0030198B">
    <w:pPr>
      <w:pStyle w:val="Header"/>
      <w:pBdr>
        <w:bottom w:val="single" w:sz="4" w:space="1" w:color="auto"/>
      </w:pBdr>
      <w:rPr>
        <w:rFonts w:ascii="Arial" w:hAnsi="Arial" w:cs="Arial"/>
        <w:i/>
        <w:iCs/>
        <w:sz w:val="16"/>
        <w:szCs w:val="16"/>
      </w:rPr>
    </w:pPr>
    <w:r w:rsidRPr="00442A99">
      <w:rPr>
        <w:rFonts w:ascii="Arial" w:hAnsi="Arial" w:cs="Arial"/>
        <w:i/>
        <w:iCs/>
        <w:sz w:val="16"/>
        <w:szCs w:val="16"/>
      </w:rPr>
      <w:t>2025</w:t>
    </w:r>
    <w:r w:rsidRPr="00442A99">
      <w:rPr>
        <w:rFonts w:ascii="Arial" w:hAnsi="Arial" w:cs="Arial"/>
        <w:i/>
        <w:iCs/>
        <w:sz w:val="16"/>
        <w:szCs w:val="16"/>
      </w:rPr>
      <w:tab/>
    </w:r>
    <w:r>
      <w:rPr>
        <w:rFonts w:ascii="Arial" w:hAnsi="Arial" w:cs="Arial"/>
        <w:i/>
        <w:iCs/>
        <w:sz w:val="16"/>
        <w:szCs w:val="16"/>
      </w:rPr>
      <w:t>Anushka Deb Roy, Dr. Mansi Kukreja</w:t>
    </w:r>
    <w:r w:rsidRPr="00442A99">
      <w:rPr>
        <w:rFonts w:ascii="Arial" w:hAnsi="Arial" w:cs="Arial"/>
        <w:i/>
        <w:iCs/>
        <w:sz w:val="16"/>
        <w:szCs w:val="16"/>
      </w:rPr>
      <w:tab/>
    </w:r>
    <w:r w:rsidRPr="00442A99">
      <w:rPr>
        <w:rFonts w:ascii="Arial" w:hAnsi="Arial" w:cs="Arial"/>
        <w:i/>
        <w:iCs/>
        <w:sz w:val="16"/>
        <w:szCs w:val="16"/>
      </w:rPr>
      <w:fldChar w:fldCharType="begin"/>
    </w:r>
    <w:r w:rsidRPr="00442A99">
      <w:rPr>
        <w:rFonts w:ascii="Arial" w:hAnsi="Arial" w:cs="Arial"/>
        <w:i/>
        <w:iCs/>
        <w:sz w:val="16"/>
        <w:szCs w:val="16"/>
      </w:rPr>
      <w:instrText xml:space="preserve"> PAGE   \* MERGEFORMAT </w:instrText>
    </w:r>
    <w:r w:rsidRPr="00442A99">
      <w:rPr>
        <w:rFonts w:ascii="Arial" w:hAnsi="Arial" w:cs="Arial"/>
        <w:i/>
        <w:iCs/>
        <w:sz w:val="16"/>
        <w:szCs w:val="16"/>
      </w:rPr>
      <w:fldChar w:fldCharType="separate"/>
    </w:r>
    <w:r>
      <w:rPr>
        <w:rFonts w:ascii="Arial" w:hAnsi="Arial" w:cs="Arial"/>
        <w:i/>
        <w:iCs/>
        <w:sz w:val="16"/>
        <w:szCs w:val="16"/>
      </w:rPr>
      <w:t>25</w:t>
    </w:r>
    <w:r w:rsidRPr="00442A99">
      <w:rPr>
        <w:rFonts w:ascii="Arial" w:hAnsi="Arial" w:cs="Arial"/>
        <w:i/>
        <w:iCs/>
        <w:noProof/>
        <w:sz w:val="16"/>
        <w:szCs w:val="16"/>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45565" w14:textId="56EB6AB9" w:rsidR="0030198B" w:rsidRPr="0030198B" w:rsidRDefault="0030198B" w:rsidP="0030198B">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November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55CEA" w14:textId="15D53B3B" w:rsidR="009D6068" w:rsidRPr="0030198B" w:rsidRDefault="009D6068" w:rsidP="0030198B">
    <w:pPr>
      <w:pBdr>
        <w:bottom w:val="single" w:sz="4" w:space="1" w:color="auto"/>
      </w:pBdr>
      <w:spacing w:after="0" w:line="160" w:lineRule="atLeast"/>
      <w:jc w:val="both"/>
      <w:rPr>
        <w:rFonts w:ascii="Arial" w:hAnsi="Arial" w:cs="Arial"/>
        <w:sz w:val="16"/>
        <w:szCs w:val="16"/>
      </w:rPr>
    </w:pPr>
    <w:r w:rsidRPr="00B62BAE">
      <w:rPr>
        <w:rFonts w:ascii="Arial" w:hAnsi="Arial" w:cs="Arial"/>
        <w:sz w:val="16"/>
        <w:szCs w:val="16"/>
      </w:rPr>
      <w:fldChar w:fldCharType="begin"/>
    </w:r>
    <w:r w:rsidRPr="00B62BAE">
      <w:rPr>
        <w:rFonts w:ascii="Arial" w:hAnsi="Arial" w:cs="Arial"/>
        <w:sz w:val="16"/>
        <w:szCs w:val="16"/>
      </w:rPr>
      <w:instrText xml:space="preserve"> PAGE   \* MERGEFORMAT </w:instrText>
    </w:r>
    <w:r w:rsidRPr="00B62BAE">
      <w:rPr>
        <w:rFonts w:ascii="Arial" w:hAnsi="Arial" w:cs="Arial"/>
        <w:sz w:val="16"/>
        <w:szCs w:val="16"/>
      </w:rPr>
      <w:fldChar w:fldCharType="separate"/>
    </w:r>
    <w:r>
      <w:rPr>
        <w:rFonts w:ascii="Arial" w:hAnsi="Arial" w:cs="Arial"/>
        <w:sz w:val="16"/>
        <w:szCs w:val="16"/>
      </w:rPr>
      <w:t>23</w:t>
    </w:r>
    <w:r w:rsidRPr="00B62BAE">
      <w:rPr>
        <w:rFonts w:ascii="Arial" w:hAnsi="Arial" w:cs="Arial"/>
        <w:noProof/>
        <w:sz w:val="16"/>
        <w:szCs w:val="16"/>
      </w:rPr>
      <w:fldChar w:fldCharType="end"/>
    </w:r>
    <w:r w:rsidRPr="00B62BAE">
      <w:rPr>
        <w:rFonts w:ascii="Arial" w:hAnsi="Arial" w:cs="Arial"/>
        <w:noProof/>
        <w:sz w:val="16"/>
        <w:szCs w:val="16"/>
      </w:rPr>
      <w:tab/>
    </w:r>
    <w:r>
      <w:rPr>
        <w:rFonts w:ascii="Arial" w:hAnsi="Arial" w:cs="Arial"/>
        <w:noProof/>
        <w:sz w:val="16"/>
        <w:szCs w:val="16"/>
      </w:rPr>
      <w:tab/>
      <w:t xml:space="preserve">         </w:t>
    </w:r>
    <w:r w:rsidRPr="00B62BAE">
      <w:rPr>
        <w:rFonts w:ascii="Arial" w:eastAsia="Arial" w:hAnsi="Arial" w:cs="Arial"/>
        <w:i/>
        <w:color w:val="000000"/>
        <w:sz w:val="16"/>
        <w:szCs w:val="16"/>
      </w:rPr>
      <w:t>International</w:t>
    </w:r>
    <w:r w:rsidRPr="00B62BAE">
      <w:rPr>
        <w:rFonts w:ascii="Arial" w:eastAsia="Arial" w:hAnsi="Arial" w:cs="Arial"/>
        <w:i/>
        <w:color w:val="000000"/>
        <w:spacing w:val="-1"/>
        <w:sz w:val="16"/>
        <w:szCs w:val="16"/>
      </w:rPr>
      <w:t xml:space="preserve"> Academic Research Journal of </w:t>
    </w:r>
    <w:r>
      <w:rPr>
        <w:rFonts w:ascii="Arial" w:eastAsia="Arial" w:hAnsi="Arial" w:cs="Arial"/>
        <w:i/>
        <w:color w:val="000000"/>
        <w:spacing w:val="-1"/>
        <w:sz w:val="16"/>
        <w:szCs w:val="16"/>
      </w:rPr>
      <w:t xml:space="preserve">Economics </w:t>
    </w:r>
    <w:r w:rsidRPr="00B62BAE">
      <w:rPr>
        <w:rFonts w:ascii="Arial" w:eastAsia="Arial" w:hAnsi="Arial" w:cs="Arial"/>
        <w:i/>
        <w:color w:val="000000"/>
        <w:spacing w:val="-1"/>
        <w:sz w:val="16"/>
        <w:szCs w:val="16"/>
      </w:rPr>
      <w:t xml:space="preserve">and </w:t>
    </w:r>
    <w:r>
      <w:rPr>
        <w:rFonts w:ascii="Arial" w:eastAsia="Arial" w:hAnsi="Arial" w:cs="Arial"/>
        <w:i/>
        <w:color w:val="000000"/>
        <w:spacing w:val="-1"/>
        <w:sz w:val="16"/>
        <w:szCs w:val="16"/>
      </w:rPr>
      <w:t>Finance</w:t>
    </w:r>
    <w:r>
      <w:rPr>
        <w:rFonts w:ascii="Arial" w:eastAsia="Arial" w:hAnsi="Arial" w:cs="Arial"/>
        <w:i/>
        <w:color w:val="000000"/>
        <w:spacing w:val="-1"/>
        <w:sz w:val="16"/>
        <w:szCs w:val="16"/>
      </w:rPr>
      <w:tab/>
    </w:r>
    <w:r w:rsidRPr="00B62BAE">
      <w:rPr>
        <w:rFonts w:ascii="Arial" w:eastAsia="Arial" w:hAnsi="Arial" w:cs="Arial"/>
        <w:i/>
        <w:color w:val="000000"/>
        <w:spacing w:val="-1"/>
        <w:sz w:val="16"/>
        <w:szCs w:val="16"/>
      </w:rPr>
      <w:tab/>
    </w:r>
    <w:r>
      <w:rPr>
        <w:rFonts w:ascii="Arial" w:eastAsia="Arial" w:hAnsi="Arial" w:cs="Arial"/>
        <w:i/>
        <w:color w:val="000000"/>
        <w:spacing w:val="-1"/>
        <w:sz w:val="16"/>
        <w:szCs w:val="16"/>
      </w:rPr>
      <w:t xml:space="preserve">     December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762CF"/>
    <w:multiLevelType w:val="multilevel"/>
    <w:tmpl w:val="B28AC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3B751C6"/>
    <w:multiLevelType w:val="multilevel"/>
    <w:tmpl w:val="ACE8A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0626321"/>
    <w:multiLevelType w:val="multilevel"/>
    <w:tmpl w:val="56E4F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B0CFB"/>
    <w:multiLevelType w:val="multilevel"/>
    <w:tmpl w:val="3B963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C63F95"/>
    <w:multiLevelType w:val="multilevel"/>
    <w:tmpl w:val="E96C88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4767A0B"/>
    <w:multiLevelType w:val="multilevel"/>
    <w:tmpl w:val="8E06DC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52465204">
    <w:abstractNumId w:val="0"/>
  </w:num>
  <w:num w:numId="2" w16cid:durableId="555971264">
    <w:abstractNumId w:val="2"/>
  </w:num>
  <w:num w:numId="3" w16cid:durableId="288126255">
    <w:abstractNumId w:val="3"/>
  </w:num>
  <w:num w:numId="4" w16cid:durableId="925186008">
    <w:abstractNumId w:val="4"/>
  </w:num>
  <w:num w:numId="5" w16cid:durableId="1663198193">
    <w:abstractNumId w:val="1"/>
  </w:num>
  <w:num w:numId="6" w16cid:durableId="13804728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6B6"/>
    <w:rsid w:val="000F3C85"/>
    <w:rsid w:val="00255A95"/>
    <w:rsid w:val="0030198B"/>
    <w:rsid w:val="003B768C"/>
    <w:rsid w:val="00587473"/>
    <w:rsid w:val="008216B6"/>
    <w:rsid w:val="00853FEB"/>
    <w:rsid w:val="00914474"/>
    <w:rsid w:val="009C6112"/>
    <w:rsid w:val="009D6068"/>
    <w:rsid w:val="00A2752F"/>
    <w:rsid w:val="00B04FF2"/>
    <w:rsid w:val="00C9330D"/>
    <w:rsid w:val="00D54C29"/>
    <w:rsid w:val="00DA3F96"/>
    <w:rsid w:val="00E64F52"/>
  </w:rsids>
  <m:mathPr>
    <m:mathFont m:val="Cambria Math"/>
    <m:brkBin m:val="before"/>
    <m:brkBinSub m:val="--"/>
    <m:smallFrac m:val="0"/>
    <m:dispDef/>
    <m:lMargin m:val="0"/>
    <m:rMargin m:val="0"/>
    <m:defJc m:val="centerGroup"/>
    <m:wrapIndent m:val="1440"/>
    <m:intLim m:val="subSup"/>
    <m:naryLim m:val="undOvr"/>
  </m:mathPr>
  <w:themeFontLang w:val="en-I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C5E13"/>
  <w15:chartTrackingRefBased/>
  <w15:docId w15:val="{437E82CE-C12C-41CF-9A07-C9E6C50AA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216B6"/>
    <w:rPr>
      <w:color w:val="0563C1" w:themeColor="hyperlink"/>
      <w:u w:val="single"/>
    </w:rPr>
  </w:style>
  <w:style w:type="table" w:styleId="TableGrid">
    <w:name w:val="Table Grid"/>
    <w:basedOn w:val="TableNormal"/>
    <w:uiPriority w:val="39"/>
    <w:rsid w:val="00C933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019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30198B"/>
  </w:style>
  <w:style w:type="paragraph" w:styleId="Footer">
    <w:name w:val="footer"/>
    <w:basedOn w:val="Normal"/>
    <w:link w:val="FooterChar"/>
    <w:uiPriority w:val="99"/>
    <w:unhideWhenUsed/>
    <w:rsid w:val="003019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30198B"/>
  </w:style>
  <w:style w:type="character" w:styleId="UnresolvedMention">
    <w:name w:val="Unresolved Mention"/>
    <w:basedOn w:val="DefaultParagraphFont"/>
    <w:uiPriority w:val="99"/>
    <w:semiHidden/>
    <w:unhideWhenUsed/>
    <w:rsid w:val="003B76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7507751">
      <w:bodyDiv w:val="1"/>
      <w:marLeft w:val="0"/>
      <w:marRight w:val="0"/>
      <w:marTop w:val="0"/>
      <w:marBottom w:val="0"/>
      <w:divBdr>
        <w:top w:val="none" w:sz="0" w:space="0" w:color="auto"/>
        <w:left w:val="none" w:sz="0" w:space="0" w:color="auto"/>
        <w:bottom w:val="none" w:sz="0" w:space="0" w:color="auto"/>
        <w:right w:val="none" w:sz="0" w:space="0" w:color="auto"/>
      </w:divBdr>
      <w:divsChild>
        <w:div w:id="1706908197">
          <w:marLeft w:val="0"/>
          <w:marRight w:val="0"/>
          <w:marTop w:val="0"/>
          <w:marBottom w:val="0"/>
          <w:divBdr>
            <w:top w:val="none" w:sz="0" w:space="0" w:color="auto"/>
            <w:left w:val="none" w:sz="0" w:space="0" w:color="auto"/>
            <w:bottom w:val="none" w:sz="0" w:space="0" w:color="auto"/>
            <w:right w:val="none" w:sz="0" w:space="0" w:color="auto"/>
          </w:divBdr>
        </w:div>
      </w:divsChild>
    </w:div>
    <w:div w:id="2117553961">
      <w:bodyDiv w:val="1"/>
      <w:marLeft w:val="0"/>
      <w:marRight w:val="0"/>
      <w:marTop w:val="0"/>
      <w:marBottom w:val="0"/>
      <w:divBdr>
        <w:top w:val="none" w:sz="0" w:space="0" w:color="auto"/>
        <w:left w:val="none" w:sz="0" w:space="0" w:color="auto"/>
        <w:bottom w:val="none" w:sz="0" w:space="0" w:color="auto"/>
        <w:right w:val="none" w:sz="0" w:space="0" w:color="auto"/>
      </w:divBdr>
      <w:divsChild>
        <w:div w:id="17043981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doi.org/10.5281/zenodo.1771931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1321</Words>
  <Characters>7535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CMS-STAFF139</dc:creator>
  <cp:keywords/>
  <dc:description/>
  <cp:lastModifiedBy>Ravi chandran</cp:lastModifiedBy>
  <cp:revision>9</cp:revision>
  <dcterms:created xsi:type="dcterms:W3CDTF">2025-10-28T06:29:00Z</dcterms:created>
  <dcterms:modified xsi:type="dcterms:W3CDTF">2025-11-26T06:04:00Z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2025-11-14T04:39:15Z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2233788e-8b2f-4480-8d4a-27a2933a6283</vt:lpwstr>
  </property>
  <property fmtid="{D5CDD505-2E9C-101B-9397-08002B2CF9AE}" pid="7" name="MSIP_Label_defa4170-0d19-0005-0004-bc88714345d2_ActionId">
    <vt:lpwstr>765a6f20-7361-4e84-880a-cac48a89d95d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