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3A3A" w14:textId="1CE5BE49" w:rsidR="00AA4464" w:rsidRPr="00FA13C3" w:rsidRDefault="00AA4464" w:rsidP="00AA4464">
      <w:pPr>
        <w:spacing w:after="0" w:line="160" w:lineRule="atLeast"/>
        <w:jc w:val="both"/>
        <w:rPr>
          <w:rFonts w:ascii="Arial" w:eastAsia="Arial" w:hAnsi="Arial" w:cs="Arial"/>
          <w:i/>
          <w:color w:val="000000"/>
          <w:spacing w:val="-1"/>
          <w:sz w:val="14"/>
          <w:szCs w:val="14"/>
        </w:rPr>
      </w:pPr>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w:t>
      </w:r>
      <w:r>
        <w:rPr>
          <w:rFonts w:ascii="Arial" w:eastAsia="Arial" w:hAnsi="Arial" w:cs="Arial"/>
          <w:i/>
          <w:color w:val="000000"/>
          <w:spacing w:val="-1"/>
          <w:sz w:val="14"/>
          <w:szCs w:val="14"/>
        </w:rPr>
        <w:t>Economics and Finance</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EF5F48">
        <w:rPr>
          <w:rFonts w:ascii="Arial" w:eastAsia="Arial" w:hAnsi="Arial" w:cs="Arial"/>
          <w:i/>
          <w:color w:val="000000"/>
          <w:spacing w:val="-1"/>
          <w:sz w:val="14"/>
          <w:szCs w:val="14"/>
        </w:rPr>
        <w:tab/>
        <w:t xml:space="preserve">        </w:t>
      </w:r>
      <w:r w:rsidRPr="00812D87">
        <w:rPr>
          <w:rFonts w:ascii="Arial" w:eastAsia="Arial" w:hAnsi="Arial" w:cs="Arial"/>
          <w:i/>
          <w:color w:val="000000" w:themeColor="text1"/>
          <w:spacing w:val="-1"/>
          <w:sz w:val="14"/>
          <w:szCs w:val="14"/>
        </w:rPr>
        <w:t>ISSN:2227-1287</w:t>
      </w:r>
      <w:r>
        <w:rPr>
          <w:rFonts w:ascii="Arial" w:eastAsia="Arial" w:hAnsi="Arial" w:cs="Arial"/>
          <w:i/>
          <w:color w:val="000000"/>
          <w:spacing w:val="-1"/>
          <w:sz w:val="14"/>
          <w:szCs w:val="14"/>
        </w:rPr>
        <w:tab/>
      </w:r>
    </w:p>
    <w:p w14:paraId="0954F741" w14:textId="77777777" w:rsidR="00EF5F48" w:rsidRDefault="00AA4464" w:rsidP="00AA4464">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 xml:space="preserve">Volume </w:t>
      </w:r>
      <w:r>
        <w:rPr>
          <w:rFonts w:ascii="Arial" w:eastAsia="Arial" w:hAnsi="Arial" w:cs="Arial"/>
          <w:i/>
          <w:color w:val="000000"/>
          <w:spacing w:val="-1"/>
          <w:sz w:val="14"/>
          <w:szCs w:val="14"/>
        </w:rPr>
        <w:t>8</w:t>
      </w:r>
      <w:r w:rsidRPr="00DF2646">
        <w:rPr>
          <w:rFonts w:ascii="Arial" w:eastAsia="Arial" w:hAnsi="Arial" w:cs="Arial"/>
          <w:i/>
          <w:color w:val="000000"/>
          <w:spacing w:val="-1"/>
          <w:sz w:val="14"/>
          <w:szCs w:val="14"/>
        </w:rPr>
        <w:t>,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1</w:t>
      </w:r>
      <w:r w:rsidRPr="00DF2646">
        <w:rPr>
          <w:rFonts w:ascii="Arial" w:eastAsia="Arial" w:hAnsi="Arial" w:cs="Arial"/>
          <w:i/>
          <w:color w:val="000000"/>
          <w:spacing w:val="-1"/>
          <w:sz w:val="14"/>
          <w:szCs w:val="14"/>
        </w:rPr>
        <w:t xml:space="preserve">, </w:t>
      </w:r>
      <w:r>
        <w:rPr>
          <w:rFonts w:ascii="Arial" w:eastAsia="Arial" w:hAnsi="Arial" w:cs="Arial"/>
          <w:i/>
          <w:color w:val="000000"/>
          <w:spacing w:val="-1"/>
          <w:sz w:val="14"/>
          <w:szCs w:val="14"/>
        </w:rPr>
        <w:t>December</w:t>
      </w:r>
      <w:r w:rsidRPr="00DF2646">
        <w:rPr>
          <w:rFonts w:ascii="Arial" w:eastAsia="Arial" w:hAnsi="Arial" w:cs="Arial"/>
          <w:i/>
          <w:color w:val="000000"/>
          <w:spacing w:val="-1"/>
          <w:sz w:val="14"/>
          <w:szCs w:val="14"/>
        </w:rPr>
        <w:t xml:space="preserve"> 2025</w:t>
      </w:r>
    </w:p>
    <w:p w14:paraId="53FF6F49" w14:textId="45943BF5" w:rsidR="00EF5F48" w:rsidRDefault="00EF5F48" w:rsidP="00AA4464">
      <w:pPr>
        <w:spacing w:after="0" w:line="160" w:lineRule="atLeast"/>
        <w:jc w:val="both"/>
        <w:rPr>
          <w:rFonts w:ascii="Arial" w:eastAsia="Arial" w:hAnsi="Arial" w:cs="Arial"/>
          <w:i/>
          <w:color w:val="000000"/>
          <w:spacing w:val="-1"/>
          <w:sz w:val="14"/>
          <w:szCs w:val="14"/>
        </w:rPr>
      </w:pPr>
      <w:r>
        <w:rPr>
          <w:rFonts w:ascii="Arial" w:eastAsia="Arial" w:hAnsi="Arial" w:cs="Arial"/>
          <w:i/>
          <w:color w:val="000000"/>
          <w:spacing w:val="-1"/>
          <w:sz w:val="14"/>
          <w:szCs w:val="14"/>
        </w:rPr>
        <w:t xml:space="preserve">DOI: </w:t>
      </w:r>
      <w:hyperlink r:id="rId7" w:history="1">
        <w:r w:rsidRPr="001A18E1">
          <w:rPr>
            <w:rStyle w:val="Hyperlink"/>
            <w:rFonts w:ascii="Arial" w:eastAsia="Arial" w:hAnsi="Arial" w:cs="Arial"/>
            <w:i/>
            <w:spacing w:val="-1"/>
            <w:sz w:val="14"/>
            <w:szCs w:val="14"/>
          </w:rPr>
          <w:t>https://doi.org/10.5281/zenodo.17719341</w:t>
        </w:r>
      </w:hyperlink>
    </w:p>
    <w:p w14:paraId="7E617A10" w14:textId="38A6044A" w:rsidR="00AA4464" w:rsidRPr="00FA13C3" w:rsidRDefault="00AA4464" w:rsidP="00AA4464">
      <w:pPr>
        <w:spacing w:after="0" w:line="160" w:lineRule="atLeast"/>
        <w:jc w:val="both"/>
        <w:rPr>
          <w:rFonts w:ascii="Arial" w:eastAsia="Arial" w:hAnsi="Arial" w:cs="Arial"/>
          <w:i/>
          <w:color w:val="000000"/>
          <w:spacing w:val="-1"/>
          <w:sz w:val="14"/>
          <w:szCs w:val="14"/>
        </w:rPr>
      </w:pP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p>
    <w:p w14:paraId="5813A96A" w14:textId="77777777" w:rsidR="00AA4464" w:rsidRPr="00AA4464" w:rsidRDefault="00AA4464" w:rsidP="00E025F7">
      <w:pPr>
        <w:jc w:val="center"/>
        <w:rPr>
          <w:rFonts w:ascii="Times New Roman" w:hAnsi="Times New Roman" w:cs="Times New Roman"/>
          <w:b/>
          <w:bCs/>
          <w:sz w:val="8"/>
          <w:szCs w:val="8"/>
        </w:rPr>
      </w:pPr>
    </w:p>
    <w:p w14:paraId="07CDAEE2" w14:textId="75299A5C" w:rsidR="00E025F7" w:rsidRDefault="00E025F7" w:rsidP="00E025F7">
      <w:pPr>
        <w:jc w:val="center"/>
        <w:rPr>
          <w:rFonts w:ascii="Times New Roman" w:hAnsi="Times New Roman" w:cs="Times New Roman"/>
          <w:b/>
          <w:bCs/>
          <w:sz w:val="32"/>
          <w:szCs w:val="32"/>
        </w:rPr>
      </w:pPr>
      <w:r w:rsidRPr="00A60C7D">
        <w:rPr>
          <w:rFonts w:ascii="Times New Roman" w:hAnsi="Times New Roman" w:cs="Times New Roman"/>
          <w:b/>
          <w:bCs/>
          <w:sz w:val="32"/>
          <w:szCs w:val="32"/>
        </w:rPr>
        <w:t>Moody's Corporation: Balancing Credibility and Innovation in Credit Ratings</w:t>
      </w:r>
    </w:p>
    <w:p w14:paraId="03457421" w14:textId="77777777" w:rsidR="00A60C7D" w:rsidRPr="00A60C7D" w:rsidRDefault="00A60C7D" w:rsidP="00E025F7">
      <w:pPr>
        <w:jc w:val="center"/>
        <w:rPr>
          <w:rFonts w:ascii="Times New Roman" w:hAnsi="Times New Roman" w:cs="Times New Roman"/>
          <w:b/>
          <w:bCs/>
          <w:sz w:val="2"/>
          <w:szCs w:val="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3960"/>
      </w:tblGrid>
      <w:tr w:rsidR="00A60C7D" w14:paraId="4C9C205E" w14:textId="77777777" w:rsidTr="00A60C7D">
        <w:trPr>
          <w:jc w:val="center"/>
        </w:trPr>
        <w:tc>
          <w:tcPr>
            <w:tcW w:w="3865" w:type="dxa"/>
          </w:tcPr>
          <w:p w14:paraId="2FB997EA" w14:textId="77777777" w:rsidR="00A60C7D" w:rsidRPr="00A60C7D" w:rsidRDefault="00A60C7D" w:rsidP="00A60C7D">
            <w:pPr>
              <w:jc w:val="center"/>
              <w:rPr>
                <w:rFonts w:ascii="Arial" w:hAnsi="Arial" w:cs="Arial"/>
                <w:b/>
                <w:bCs/>
                <w:i/>
                <w:iCs/>
                <w:sz w:val="16"/>
                <w:szCs w:val="16"/>
              </w:rPr>
            </w:pPr>
            <w:r w:rsidRPr="00A60C7D">
              <w:rPr>
                <w:rFonts w:ascii="Arial" w:hAnsi="Arial" w:cs="Arial"/>
                <w:b/>
                <w:bCs/>
                <w:i/>
                <w:iCs/>
                <w:sz w:val="16"/>
                <w:szCs w:val="16"/>
              </w:rPr>
              <w:t>Ashwin Vasudevan Midde</w:t>
            </w:r>
          </w:p>
          <w:p w14:paraId="0E8BE122" w14:textId="77777777" w:rsidR="00A60C7D" w:rsidRDefault="00A60C7D" w:rsidP="00A60C7D">
            <w:pPr>
              <w:jc w:val="center"/>
              <w:rPr>
                <w:rFonts w:ascii="Arial" w:hAnsi="Arial" w:cs="Arial"/>
                <w:sz w:val="16"/>
                <w:szCs w:val="16"/>
              </w:rPr>
            </w:pPr>
            <w:r w:rsidRPr="00A60C7D">
              <w:rPr>
                <w:rFonts w:ascii="Arial" w:hAnsi="Arial" w:cs="Arial"/>
                <w:sz w:val="16"/>
                <w:szCs w:val="16"/>
              </w:rPr>
              <w:t xml:space="preserve">Student, Faculty of Management Studies, </w:t>
            </w:r>
          </w:p>
          <w:p w14:paraId="24CFDD87" w14:textId="77777777" w:rsidR="00A60C7D" w:rsidRDefault="00A60C7D" w:rsidP="00A60C7D">
            <w:pPr>
              <w:jc w:val="center"/>
              <w:rPr>
                <w:rFonts w:ascii="Arial" w:hAnsi="Arial" w:cs="Arial"/>
                <w:sz w:val="16"/>
                <w:szCs w:val="16"/>
              </w:rPr>
            </w:pPr>
            <w:r w:rsidRPr="00A60C7D">
              <w:rPr>
                <w:rFonts w:ascii="Arial" w:hAnsi="Arial" w:cs="Arial"/>
                <w:sz w:val="16"/>
                <w:szCs w:val="16"/>
              </w:rPr>
              <w:t xml:space="preserve">CMS Business School, </w:t>
            </w:r>
          </w:p>
          <w:p w14:paraId="699877E7" w14:textId="76A9FE1B" w:rsidR="00A60C7D" w:rsidRPr="00A60C7D" w:rsidRDefault="00A60C7D" w:rsidP="00A60C7D">
            <w:pPr>
              <w:jc w:val="center"/>
              <w:rPr>
                <w:rFonts w:ascii="Arial" w:hAnsi="Arial" w:cs="Arial"/>
                <w:sz w:val="16"/>
                <w:szCs w:val="16"/>
              </w:rPr>
            </w:pPr>
            <w:r w:rsidRPr="00A60C7D">
              <w:rPr>
                <w:rFonts w:ascii="Arial" w:hAnsi="Arial" w:cs="Arial"/>
                <w:sz w:val="16"/>
                <w:szCs w:val="16"/>
              </w:rPr>
              <w:t>JAIN (Deemed-to-be University) Bangalore, India</w:t>
            </w:r>
          </w:p>
        </w:tc>
        <w:tc>
          <w:tcPr>
            <w:tcW w:w="3960" w:type="dxa"/>
          </w:tcPr>
          <w:p w14:paraId="3862240C" w14:textId="77777777" w:rsidR="00A60C7D" w:rsidRPr="00A60C7D" w:rsidRDefault="00A60C7D" w:rsidP="00A60C7D">
            <w:pPr>
              <w:jc w:val="center"/>
              <w:outlineLvl w:val="0"/>
              <w:rPr>
                <w:rFonts w:ascii="Arial" w:hAnsi="Arial" w:cs="Arial"/>
                <w:b/>
                <w:bCs/>
                <w:i/>
                <w:iCs/>
                <w:sz w:val="16"/>
                <w:szCs w:val="16"/>
              </w:rPr>
            </w:pPr>
            <w:r w:rsidRPr="00A60C7D">
              <w:rPr>
                <w:rFonts w:ascii="Arial" w:hAnsi="Arial" w:cs="Arial"/>
                <w:b/>
                <w:bCs/>
                <w:i/>
                <w:iCs/>
                <w:sz w:val="16"/>
                <w:szCs w:val="16"/>
              </w:rPr>
              <w:t>Dr. Shalini R</w:t>
            </w:r>
          </w:p>
          <w:p w14:paraId="19E85991" w14:textId="77777777" w:rsidR="00A60C7D" w:rsidRDefault="00A60C7D" w:rsidP="00A60C7D">
            <w:pPr>
              <w:jc w:val="center"/>
              <w:outlineLvl w:val="0"/>
              <w:rPr>
                <w:rFonts w:ascii="Arial" w:hAnsi="Arial" w:cs="Arial"/>
                <w:sz w:val="16"/>
                <w:szCs w:val="16"/>
              </w:rPr>
            </w:pPr>
            <w:r w:rsidRPr="00A60C7D">
              <w:rPr>
                <w:rFonts w:ascii="Arial" w:hAnsi="Arial" w:cs="Arial"/>
                <w:sz w:val="16"/>
                <w:szCs w:val="16"/>
              </w:rPr>
              <w:t xml:space="preserve">Professor, Faculty of Management Studies, </w:t>
            </w:r>
          </w:p>
          <w:p w14:paraId="5FAEAB6D" w14:textId="77777777" w:rsidR="00A60C7D" w:rsidRDefault="00A60C7D" w:rsidP="00A60C7D">
            <w:pPr>
              <w:jc w:val="center"/>
              <w:outlineLvl w:val="0"/>
              <w:rPr>
                <w:rFonts w:ascii="Arial" w:hAnsi="Arial" w:cs="Arial"/>
                <w:sz w:val="16"/>
                <w:szCs w:val="16"/>
              </w:rPr>
            </w:pPr>
            <w:r w:rsidRPr="00A60C7D">
              <w:rPr>
                <w:rFonts w:ascii="Arial" w:hAnsi="Arial" w:cs="Arial"/>
                <w:sz w:val="16"/>
                <w:szCs w:val="16"/>
              </w:rPr>
              <w:t>CMS Business School, J</w:t>
            </w:r>
          </w:p>
          <w:p w14:paraId="193CCD49" w14:textId="4AF36657" w:rsidR="00A60C7D" w:rsidRPr="00A60C7D" w:rsidRDefault="00A60C7D" w:rsidP="00A60C7D">
            <w:pPr>
              <w:jc w:val="center"/>
              <w:outlineLvl w:val="0"/>
              <w:rPr>
                <w:rFonts w:ascii="Arial" w:hAnsi="Arial" w:cs="Arial"/>
                <w:sz w:val="16"/>
                <w:szCs w:val="16"/>
              </w:rPr>
            </w:pPr>
            <w:r w:rsidRPr="00A60C7D">
              <w:rPr>
                <w:rFonts w:ascii="Arial" w:hAnsi="Arial" w:cs="Arial"/>
                <w:sz w:val="16"/>
                <w:szCs w:val="16"/>
              </w:rPr>
              <w:t xml:space="preserve">AIN (Deemed-to-be University) Bangalore, India. </w:t>
            </w:r>
          </w:p>
        </w:tc>
      </w:tr>
    </w:tbl>
    <w:p w14:paraId="7A578DE6" w14:textId="77777777" w:rsidR="00E025F7" w:rsidRPr="00A60C7D" w:rsidRDefault="00E025F7" w:rsidP="00E025F7">
      <w:pPr>
        <w:jc w:val="center"/>
        <w:rPr>
          <w:rFonts w:ascii="Times New Roman" w:hAnsi="Times New Roman" w:cs="Times New Roman"/>
          <w:b/>
          <w:bCs/>
          <w:sz w:val="16"/>
          <w:szCs w:val="12"/>
        </w:rPr>
      </w:pPr>
    </w:p>
    <w:p w14:paraId="0BEBBC13" w14:textId="77777777" w:rsidR="00E025F7" w:rsidRPr="00A60C7D" w:rsidRDefault="00E025F7" w:rsidP="00A60C7D">
      <w:pPr>
        <w:spacing w:after="120" w:line="240" w:lineRule="auto"/>
        <w:ind w:left="720" w:right="386"/>
        <w:jc w:val="center"/>
        <w:rPr>
          <w:rFonts w:ascii="Arial" w:hAnsi="Arial" w:cs="Arial"/>
          <w:b/>
          <w:bCs/>
          <w:i/>
          <w:iCs/>
          <w:sz w:val="18"/>
          <w:szCs w:val="18"/>
        </w:rPr>
      </w:pPr>
      <w:r w:rsidRPr="00A60C7D">
        <w:rPr>
          <w:rFonts w:ascii="Arial" w:hAnsi="Arial" w:cs="Arial"/>
          <w:b/>
          <w:bCs/>
          <w:i/>
          <w:iCs/>
          <w:sz w:val="18"/>
          <w:szCs w:val="18"/>
        </w:rPr>
        <w:t>Abstract</w:t>
      </w:r>
    </w:p>
    <w:p w14:paraId="6D9AE0C5" w14:textId="4FE2FBF1" w:rsidR="00E025F7" w:rsidRPr="00A60C7D" w:rsidRDefault="00E025F7" w:rsidP="00A60C7D">
      <w:pPr>
        <w:spacing w:after="120" w:line="240" w:lineRule="auto"/>
        <w:ind w:left="720" w:right="386"/>
        <w:jc w:val="both"/>
        <w:rPr>
          <w:rFonts w:ascii="Arial" w:hAnsi="Arial" w:cs="Arial"/>
          <w:sz w:val="18"/>
          <w:szCs w:val="18"/>
        </w:rPr>
      </w:pPr>
      <w:r w:rsidRPr="00A60C7D">
        <w:rPr>
          <w:rFonts w:ascii="Arial" w:hAnsi="Arial" w:cs="Arial"/>
          <w:sz w:val="18"/>
          <w:szCs w:val="18"/>
        </w:rPr>
        <w:t>Credit rating agencies play a crucial role in global capital markets by translating complex issuer risks into actionable credit opinions. This case focuses on Moody's Corporation, which operates two complementary business lines: Moody's Investors Service, issuing credit ratings for sovereign, corporate, and structured finance instruments; and Moody's Analytics, providing data and risk solutions to diversify revenue streams. The case highlights managerial challenges in sustaining credibility amid cyclical issuance volumes, integrating Environmental, Social, and Governance (ESG) factors within ratings, and managing scrutiny over the issuer-pays model. It discusses ongoing modernization efforts in analytics and workflows, supported by data governance and methodological transparency. The case outlines a strategic roadmap accentuating data discipline, selective automation, and maintaining trust while accelerating responsiveness and sector coverage. It draws on academic and policy literature related to credit rating incentives, global oversight frameworks, and evolving investor expectations, emphasizing the importance of balancing innovation with governance.</w:t>
      </w:r>
      <w:r w:rsidR="00EF5F48" w:rsidRPr="00EF5F48">
        <w:rPr>
          <w:rFonts w:ascii="Arial" w:hAnsi="Arial" w:cs="Arial"/>
          <w:sz w:val="18"/>
          <w:szCs w:val="18"/>
        </w:rPr>
        <w:t xml:space="preserve"> </w:t>
      </w:r>
    </w:p>
    <w:p w14:paraId="69ADC46C" w14:textId="77777777" w:rsidR="00E025F7" w:rsidRPr="00A60C7D" w:rsidRDefault="00E025F7" w:rsidP="00A60C7D">
      <w:pPr>
        <w:spacing w:after="120" w:line="240" w:lineRule="auto"/>
        <w:ind w:left="720" w:right="386"/>
        <w:jc w:val="both"/>
        <w:rPr>
          <w:rFonts w:ascii="Arial" w:hAnsi="Arial" w:cs="Arial"/>
          <w:sz w:val="18"/>
          <w:szCs w:val="18"/>
        </w:rPr>
      </w:pPr>
      <w:r w:rsidRPr="00A60C7D">
        <w:rPr>
          <w:rFonts w:ascii="Arial" w:hAnsi="Arial" w:cs="Arial"/>
          <w:b/>
          <w:bCs/>
          <w:sz w:val="18"/>
          <w:szCs w:val="18"/>
        </w:rPr>
        <w:t>Keywords:</w:t>
      </w:r>
      <w:r w:rsidRPr="00A60C7D">
        <w:rPr>
          <w:rFonts w:ascii="Arial" w:hAnsi="Arial" w:cs="Arial"/>
          <w:sz w:val="18"/>
          <w:szCs w:val="18"/>
        </w:rPr>
        <w:t xml:space="preserve"> Credit ratings, ESG, Issuer-pays model, Data governance, Analytics diversification</w:t>
      </w:r>
    </w:p>
    <w:p w14:paraId="6B034F97" w14:textId="77777777" w:rsidR="00A60C7D" w:rsidRDefault="00A60C7D" w:rsidP="00E025F7">
      <w:pPr>
        <w:jc w:val="both"/>
        <w:rPr>
          <w:rFonts w:ascii="Arial" w:hAnsi="Arial" w:cs="Arial"/>
          <w:b/>
          <w:bCs/>
        </w:rPr>
        <w:sectPr w:rsidR="00A60C7D" w:rsidSect="00EA16E6">
          <w:headerReference w:type="even" r:id="rId8"/>
          <w:headerReference w:type="default" r:id="rId9"/>
          <w:pgSz w:w="11906" w:h="16838" w:code="9"/>
          <w:pgMar w:top="1440" w:right="1440" w:bottom="1440" w:left="1440" w:header="1008" w:footer="720" w:gutter="0"/>
          <w:pgNumType w:start="27"/>
          <w:cols w:space="708"/>
          <w:docGrid w:linePitch="360"/>
        </w:sectPr>
      </w:pPr>
    </w:p>
    <w:p w14:paraId="38896E40" w14:textId="77777777" w:rsidR="00A60C7D" w:rsidRPr="00A60C7D" w:rsidRDefault="00A60C7D" w:rsidP="00A60C7D">
      <w:pPr>
        <w:spacing w:after="120" w:line="276" w:lineRule="auto"/>
        <w:jc w:val="center"/>
        <w:rPr>
          <w:rFonts w:ascii="Arial" w:hAnsi="Arial" w:cs="Arial"/>
          <w:b/>
          <w:bCs/>
          <w:caps/>
          <w:sz w:val="12"/>
          <w:szCs w:val="12"/>
        </w:rPr>
      </w:pPr>
    </w:p>
    <w:p w14:paraId="4A5561F0" w14:textId="7EE88028" w:rsidR="00E025F7" w:rsidRPr="00A60C7D" w:rsidRDefault="00E025F7" w:rsidP="004D1D62">
      <w:pPr>
        <w:spacing w:after="40" w:line="276" w:lineRule="auto"/>
        <w:jc w:val="center"/>
        <w:rPr>
          <w:rFonts w:ascii="Arial" w:hAnsi="Arial" w:cs="Arial"/>
          <w:b/>
          <w:bCs/>
          <w:caps/>
        </w:rPr>
      </w:pPr>
      <w:r w:rsidRPr="00A60C7D">
        <w:rPr>
          <w:rFonts w:ascii="Arial" w:hAnsi="Arial" w:cs="Arial"/>
          <w:b/>
          <w:bCs/>
          <w:caps/>
        </w:rPr>
        <w:t>Case Introduction</w:t>
      </w:r>
    </w:p>
    <w:p w14:paraId="489B13F2" w14:textId="77777777" w:rsidR="00E025F7" w:rsidRPr="00A60C7D" w:rsidRDefault="00E025F7" w:rsidP="004D1D62">
      <w:pPr>
        <w:spacing w:after="40" w:line="276" w:lineRule="auto"/>
        <w:ind w:firstLine="720"/>
        <w:jc w:val="both"/>
        <w:rPr>
          <w:rFonts w:ascii="Arial" w:hAnsi="Arial" w:cs="Arial"/>
        </w:rPr>
      </w:pPr>
      <w:r w:rsidRPr="00A60C7D">
        <w:rPr>
          <w:rFonts w:ascii="Arial" w:hAnsi="Arial" w:cs="Arial"/>
        </w:rPr>
        <w:t>Moody's Corporation operates through two synergistic platforms. Moody's Investors Service issues credit ratings that inform institutional investment decisions and pricing across diverse asset classes. Moody's Analytics complements this by offering advanced data analytics, risk tools, and software solutions, which help clients manage credit risk beyond the core ratings business.</w:t>
      </w:r>
    </w:p>
    <w:p w14:paraId="00590A01" w14:textId="77777777" w:rsidR="00E025F7" w:rsidRPr="00A60C7D" w:rsidRDefault="00E025F7" w:rsidP="004D1D62">
      <w:pPr>
        <w:spacing w:after="40" w:line="276" w:lineRule="auto"/>
        <w:ind w:firstLine="720"/>
        <w:jc w:val="both"/>
        <w:rPr>
          <w:rFonts w:ascii="Arial" w:hAnsi="Arial" w:cs="Arial"/>
        </w:rPr>
      </w:pPr>
      <w:r w:rsidRPr="00A60C7D">
        <w:rPr>
          <w:rFonts w:ascii="Arial" w:hAnsi="Arial" w:cs="Arial"/>
        </w:rPr>
        <w:t>The case situates Moody's in a market shaped by rapid growth in sustainable finance, demands for transparent and reproducible rating methodologies, and pressures to modernize workflows and technologies. At the same time, Moody's faces criticism about conflicts stemming from the issuer-pays model and questions regarding post-financial crisis regulatory reforms aimed at safeguarding investor interests.</w:t>
      </w:r>
    </w:p>
    <w:p w14:paraId="72E168BB" w14:textId="77777777" w:rsidR="00E025F7" w:rsidRPr="00A60C7D" w:rsidRDefault="00E025F7" w:rsidP="004D1D62">
      <w:pPr>
        <w:spacing w:after="40" w:line="276" w:lineRule="auto"/>
        <w:ind w:firstLine="720"/>
        <w:jc w:val="both"/>
        <w:rPr>
          <w:rFonts w:ascii="Arial" w:hAnsi="Arial" w:cs="Arial"/>
        </w:rPr>
      </w:pPr>
      <w:r w:rsidRPr="00A60C7D">
        <w:rPr>
          <w:rFonts w:ascii="Arial" w:hAnsi="Arial" w:cs="Arial"/>
        </w:rPr>
        <w:t xml:space="preserve">Supervisory bodies globally emphasize maintaining rating agency </w:t>
      </w:r>
      <w:r w:rsidRPr="00A60C7D">
        <w:rPr>
          <w:rFonts w:ascii="Arial" w:hAnsi="Arial" w:cs="Arial"/>
        </w:rPr>
        <w:t>independence, controlling conflicts of interest, and enforcing rigorous surveillance practices. The managerial problem focuses on strengthening governance and auditability while scaling technological innovations to boost timeliness, comparability, and sector coverage of rating opinions.</w:t>
      </w:r>
    </w:p>
    <w:p w14:paraId="4C7BB9C2" w14:textId="77777777" w:rsidR="00E025F7" w:rsidRPr="00A60C7D" w:rsidRDefault="00E025F7" w:rsidP="004D1D62">
      <w:pPr>
        <w:spacing w:after="40" w:line="276" w:lineRule="auto"/>
        <w:jc w:val="both"/>
        <w:rPr>
          <w:rFonts w:ascii="Arial" w:hAnsi="Arial" w:cs="Arial"/>
          <w:b/>
          <w:bCs/>
        </w:rPr>
      </w:pPr>
      <w:r w:rsidRPr="00A60C7D">
        <w:rPr>
          <w:rFonts w:ascii="Arial" w:hAnsi="Arial" w:cs="Arial"/>
          <w:b/>
          <w:bCs/>
        </w:rPr>
        <w:t>About the Industry</w:t>
      </w:r>
    </w:p>
    <w:p w14:paraId="41921806" w14:textId="77777777" w:rsidR="00E025F7" w:rsidRPr="00A60C7D" w:rsidRDefault="00E025F7" w:rsidP="004D1D62">
      <w:pPr>
        <w:spacing w:after="40" w:line="276" w:lineRule="auto"/>
        <w:ind w:firstLine="720"/>
        <w:jc w:val="both"/>
        <w:rPr>
          <w:rFonts w:ascii="Arial" w:hAnsi="Arial" w:cs="Arial"/>
        </w:rPr>
      </w:pPr>
      <w:r w:rsidRPr="00A60C7D">
        <w:rPr>
          <w:rFonts w:ascii="Arial" w:hAnsi="Arial" w:cs="Arial"/>
        </w:rPr>
        <w:t>Credit rating agencies serve as critical intermediaries between issuers seeking funding and investors managing risk, applying standardized symbols to represent creditworthiness. The industry is highly concentrated among a few major players, including Moody's, Standard &amp; Poor's, and Fitch, which leverage scale to develop deep surveillance and sophisticated methodologies, but also face intense scrutiny over competitive dynamics and potential conflicts.</w:t>
      </w:r>
    </w:p>
    <w:p w14:paraId="1CB08223" w14:textId="77777777" w:rsidR="00E025F7" w:rsidRPr="00A60C7D" w:rsidRDefault="00E025F7" w:rsidP="004D1D62">
      <w:pPr>
        <w:spacing w:after="40" w:line="276" w:lineRule="auto"/>
        <w:ind w:firstLine="720"/>
        <w:jc w:val="both"/>
        <w:rPr>
          <w:rFonts w:ascii="Arial" w:hAnsi="Arial" w:cs="Arial"/>
        </w:rPr>
      </w:pPr>
      <w:r w:rsidRPr="00A60C7D">
        <w:rPr>
          <w:rFonts w:ascii="Arial" w:hAnsi="Arial" w:cs="Arial"/>
        </w:rPr>
        <w:t xml:space="preserve">Post-2008 financial regulations introduced reforms focusing on transparency, accountability, and operational controls. For example, the </w:t>
      </w:r>
      <w:r w:rsidRPr="00A60C7D">
        <w:rPr>
          <w:rFonts w:ascii="Arial" w:hAnsi="Arial" w:cs="Arial"/>
        </w:rPr>
        <w:lastRenderedPageBreak/>
        <w:t>International Organization of Securities Commissions (IOSCO) introduced a Code of Conduct comprising principles for credit rating agencies, emphasizing disclosure, governance, and conflicts management.</w:t>
      </w:r>
    </w:p>
    <w:p w14:paraId="3A7D3808" w14:textId="77777777" w:rsidR="00E025F7" w:rsidRPr="00A60C7D" w:rsidRDefault="00E025F7" w:rsidP="004D1D62">
      <w:pPr>
        <w:spacing w:after="40" w:line="276" w:lineRule="auto"/>
        <w:ind w:firstLine="720"/>
        <w:jc w:val="both"/>
        <w:rPr>
          <w:rFonts w:ascii="Arial" w:hAnsi="Arial" w:cs="Arial"/>
        </w:rPr>
      </w:pPr>
      <w:r w:rsidRPr="00A60C7D">
        <w:rPr>
          <w:rFonts w:ascii="Arial" w:hAnsi="Arial" w:cs="Arial"/>
        </w:rPr>
        <w:t>The debt issuance cycle drives rating demand, but firms are increasingly diversifying into analytics and ESG-linked products to balance revenue streams. ESG integration presents challenges in measurement and standardization, as investors seek consistent, risk-relevant environmental and social data reflected across ratings without fragmenting core credit opinions.</w:t>
      </w:r>
    </w:p>
    <w:p w14:paraId="70DB5109" w14:textId="77777777" w:rsidR="00E025F7" w:rsidRPr="00A60C7D" w:rsidRDefault="00E025F7" w:rsidP="004D1D62">
      <w:pPr>
        <w:spacing w:after="40" w:line="276" w:lineRule="auto"/>
        <w:ind w:firstLine="720"/>
        <w:jc w:val="both"/>
        <w:rPr>
          <w:rFonts w:ascii="Arial" w:hAnsi="Arial" w:cs="Arial"/>
        </w:rPr>
      </w:pPr>
      <w:r w:rsidRPr="00A60C7D">
        <w:rPr>
          <w:rFonts w:ascii="Arial" w:hAnsi="Arial" w:cs="Arial"/>
        </w:rPr>
        <w:t>Industry trends include digitization of data collection and analysis, increased use of alternative data sources, and ongoing pressures to enhance methodological transparency and independence.</w:t>
      </w:r>
    </w:p>
    <w:p w14:paraId="28C0C713" w14:textId="77777777" w:rsidR="00E025F7" w:rsidRPr="00A60C7D" w:rsidRDefault="00E025F7" w:rsidP="004D1D62">
      <w:pPr>
        <w:spacing w:after="40" w:line="276" w:lineRule="auto"/>
        <w:jc w:val="both"/>
        <w:rPr>
          <w:rFonts w:ascii="Arial" w:hAnsi="Arial" w:cs="Arial"/>
          <w:b/>
          <w:bCs/>
        </w:rPr>
      </w:pPr>
      <w:r w:rsidRPr="00A60C7D">
        <w:rPr>
          <w:rFonts w:ascii="Arial" w:hAnsi="Arial" w:cs="Arial"/>
          <w:b/>
          <w:bCs/>
        </w:rPr>
        <w:t>Problems Faced by the Industry (with 5 Reviews)</w:t>
      </w:r>
    </w:p>
    <w:p w14:paraId="06A1E0AC" w14:textId="77777777" w:rsidR="00E025F7" w:rsidRPr="00A60C7D" w:rsidRDefault="00E025F7" w:rsidP="004D1D62">
      <w:pPr>
        <w:spacing w:after="40" w:line="276" w:lineRule="auto"/>
        <w:ind w:firstLine="810"/>
        <w:jc w:val="both"/>
        <w:rPr>
          <w:rFonts w:ascii="Arial" w:hAnsi="Arial" w:cs="Arial"/>
        </w:rPr>
      </w:pPr>
      <w:r w:rsidRPr="00A60C7D">
        <w:rPr>
          <w:rFonts w:ascii="Arial" w:hAnsi="Arial" w:cs="Arial"/>
        </w:rPr>
        <w:t>Multiple challenges confront credit rating agencies globally. The issuer-pays model creates inherent conflicts of interest whose mitigation requires stringent governance and transparency measures. Rating agencies face cyclicality in revenue and workload driven by debt issuance cycles, affecting stability.</w:t>
      </w:r>
    </w:p>
    <w:p w14:paraId="0B34E5E1" w14:textId="77777777" w:rsidR="00E025F7" w:rsidRPr="00A60C7D" w:rsidRDefault="00E025F7" w:rsidP="004D1D62">
      <w:pPr>
        <w:spacing w:after="40" w:line="276" w:lineRule="auto"/>
        <w:ind w:firstLine="810"/>
        <w:jc w:val="both"/>
        <w:rPr>
          <w:rFonts w:ascii="Arial" w:hAnsi="Arial" w:cs="Arial"/>
        </w:rPr>
      </w:pPr>
      <w:r w:rsidRPr="00A60C7D">
        <w:rPr>
          <w:rFonts w:ascii="Arial" w:hAnsi="Arial" w:cs="Arial"/>
        </w:rPr>
        <w:t>ESG integration demands new data sources and analytical methods, raising concerns about maintaining a singular credit focus while incorporating diverse risk factors. Regulatory and investor scrutiny has intensified, requiring enhanced oversight and documentation of rating processes.</w:t>
      </w:r>
    </w:p>
    <w:p w14:paraId="07638F7B" w14:textId="77777777" w:rsidR="00E025F7" w:rsidRPr="00A60C7D" w:rsidRDefault="00E025F7" w:rsidP="004D1D62">
      <w:pPr>
        <w:spacing w:after="40" w:line="276" w:lineRule="auto"/>
        <w:jc w:val="both"/>
        <w:rPr>
          <w:rFonts w:ascii="Arial" w:hAnsi="Arial" w:cs="Arial"/>
        </w:rPr>
      </w:pPr>
      <w:r w:rsidRPr="00A60C7D">
        <w:rPr>
          <w:rFonts w:ascii="Arial" w:hAnsi="Arial" w:cs="Arial"/>
        </w:rPr>
        <w:t>Academic and policy reviews include:</w:t>
      </w:r>
    </w:p>
    <w:p w14:paraId="118411A4" w14:textId="77777777" w:rsidR="00E025F7" w:rsidRPr="00A60C7D" w:rsidRDefault="00E025F7" w:rsidP="004D1D62">
      <w:pPr>
        <w:numPr>
          <w:ilvl w:val="0"/>
          <w:numId w:val="1"/>
        </w:numPr>
        <w:tabs>
          <w:tab w:val="clear" w:pos="720"/>
        </w:tabs>
        <w:spacing w:after="40" w:line="276" w:lineRule="auto"/>
        <w:ind w:left="360"/>
        <w:jc w:val="both"/>
        <w:rPr>
          <w:rFonts w:ascii="Arial" w:hAnsi="Arial" w:cs="Arial"/>
        </w:rPr>
      </w:pPr>
      <w:r w:rsidRPr="00A60C7D">
        <w:rPr>
          <w:rFonts w:ascii="Arial" w:hAnsi="Arial" w:cs="Arial"/>
        </w:rPr>
        <w:t>International Organization of Securities Commissions (2015) emphasizing transparency and conflict management to preserve rating integrity.</w:t>
      </w:r>
    </w:p>
    <w:p w14:paraId="12A57DA6" w14:textId="77777777" w:rsidR="00E025F7" w:rsidRPr="00A60C7D" w:rsidRDefault="00E025F7" w:rsidP="004D1D62">
      <w:pPr>
        <w:numPr>
          <w:ilvl w:val="0"/>
          <w:numId w:val="1"/>
        </w:numPr>
        <w:tabs>
          <w:tab w:val="clear" w:pos="720"/>
        </w:tabs>
        <w:spacing w:after="40" w:line="276" w:lineRule="auto"/>
        <w:ind w:left="360"/>
        <w:jc w:val="both"/>
        <w:rPr>
          <w:rFonts w:ascii="Arial" w:hAnsi="Arial" w:cs="Arial"/>
        </w:rPr>
      </w:pPr>
      <w:r w:rsidRPr="00A60C7D">
        <w:rPr>
          <w:rFonts w:ascii="Arial" w:hAnsi="Arial" w:cs="Arial"/>
        </w:rPr>
        <w:t>White (2010) critiquing competitive dynamics and incentives in the issuer-pays framework.</w:t>
      </w:r>
    </w:p>
    <w:p w14:paraId="71D1FE34" w14:textId="77777777" w:rsidR="00E025F7" w:rsidRPr="00A60C7D" w:rsidRDefault="00E025F7" w:rsidP="004D1D62">
      <w:pPr>
        <w:numPr>
          <w:ilvl w:val="0"/>
          <w:numId w:val="1"/>
        </w:numPr>
        <w:tabs>
          <w:tab w:val="clear" w:pos="720"/>
        </w:tabs>
        <w:spacing w:after="40" w:line="276" w:lineRule="auto"/>
        <w:ind w:left="360"/>
        <w:jc w:val="both"/>
        <w:rPr>
          <w:rFonts w:ascii="Arial" w:hAnsi="Arial" w:cs="Arial"/>
        </w:rPr>
      </w:pPr>
      <w:r w:rsidRPr="00A60C7D">
        <w:rPr>
          <w:rFonts w:ascii="Arial" w:hAnsi="Arial" w:cs="Arial"/>
        </w:rPr>
        <w:t xml:space="preserve">Midde &amp; Shalini (2025) </w:t>
      </w:r>
      <w:proofErr w:type="spellStart"/>
      <w:r w:rsidRPr="00A60C7D">
        <w:rPr>
          <w:rFonts w:ascii="Arial" w:hAnsi="Arial" w:cs="Arial"/>
        </w:rPr>
        <w:t>analyzing</w:t>
      </w:r>
      <w:proofErr w:type="spellEnd"/>
      <w:r w:rsidRPr="00A60C7D">
        <w:rPr>
          <w:rFonts w:ascii="Arial" w:hAnsi="Arial" w:cs="Arial"/>
        </w:rPr>
        <w:t xml:space="preserve"> Moody’s dual business model as a hedge against cyclical risks.</w:t>
      </w:r>
    </w:p>
    <w:p w14:paraId="2011F3E0" w14:textId="77777777" w:rsidR="00E025F7" w:rsidRPr="00A60C7D" w:rsidRDefault="00E025F7" w:rsidP="004D1D62">
      <w:pPr>
        <w:numPr>
          <w:ilvl w:val="0"/>
          <w:numId w:val="1"/>
        </w:numPr>
        <w:tabs>
          <w:tab w:val="clear" w:pos="720"/>
        </w:tabs>
        <w:spacing w:after="40" w:line="276" w:lineRule="auto"/>
        <w:ind w:left="360"/>
        <w:jc w:val="both"/>
        <w:rPr>
          <w:rFonts w:ascii="Arial" w:hAnsi="Arial" w:cs="Arial"/>
        </w:rPr>
      </w:pPr>
      <w:r w:rsidRPr="00A60C7D">
        <w:rPr>
          <w:rFonts w:ascii="Arial" w:hAnsi="Arial" w:cs="Arial"/>
        </w:rPr>
        <w:t>Research highlighting the importance of data governance frameworks allowing increased automation without compromising auditability.</w:t>
      </w:r>
    </w:p>
    <w:p w14:paraId="6BC589E6" w14:textId="77777777" w:rsidR="00E025F7" w:rsidRPr="00A60C7D" w:rsidRDefault="00E025F7" w:rsidP="004D1D62">
      <w:pPr>
        <w:numPr>
          <w:ilvl w:val="0"/>
          <w:numId w:val="1"/>
        </w:numPr>
        <w:tabs>
          <w:tab w:val="clear" w:pos="720"/>
        </w:tabs>
        <w:spacing w:after="40" w:line="276" w:lineRule="auto"/>
        <w:ind w:left="360"/>
        <w:jc w:val="both"/>
        <w:rPr>
          <w:rFonts w:ascii="Arial" w:hAnsi="Arial" w:cs="Arial"/>
        </w:rPr>
      </w:pPr>
      <w:r w:rsidRPr="00A60C7D">
        <w:rPr>
          <w:rFonts w:ascii="Arial" w:hAnsi="Arial" w:cs="Arial"/>
        </w:rPr>
        <w:t>Studies on ESG challenges noting the balance needed between incorporating social/environmental factors and retaining credit risk focus.</w:t>
      </w:r>
    </w:p>
    <w:p w14:paraId="14483F3C" w14:textId="77777777" w:rsidR="00E025F7" w:rsidRPr="00A60C7D" w:rsidRDefault="00E025F7" w:rsidP="004D1D62">
      <w:pPr>
        <w:spacing w:after="40" w:line="276" w:lineRule="auto"/>
        <w:ind w:firstLine="720"/>
        <w:jc w:val="both"/>
        <w:rPr>
          <w:rFonts w:ascii="Arial" w:hAnsi="Arial" w:cs="Arial"/>
        </w:rPr>
      </w:pPr>
      <w:r w:rsidRPr="00A60C7D">
        <w:rPr>
          <w:rFonts w:ascii="Arial" w:hAnsi="Arial" w:cs="Arial"/>
        </w:rPr>
        <w:t>These insights highlight the necessity of robust governance structures, methodological rigor, and adaptive technology to sustain market confidence.</w:t>
      </w:r>
    </w:p>
    <w:p w14:paraId="32AE8BE2" w14:textId="77777777" w:rsidR="00E025F7" w:rsidRPr="00A60C7D" w:rsidRDefault="00E025F7" w:rsidP="004D1D62">
      <w:pPr>
        <w:spacing w:after="40" w:line="276" w:lineRule="auto"/>
        <w:jc w:val="center"/>
        <w:rPr>
          <w:rFonts w:ascii="Arial" w:hAnsi="Arial" w:cs="Arial"/>
          <w:b/>
          <w:bCs/>
          <w:caps/>
        </w:rPr>
      </w:pPr>
      <w:r w:rsidRPr="00A60C7D">
        <w:rPr>
          <w:rFonts w:ascii="Arial" w:hAnsi="Arial" w:cs="Arial"/>
          <w:b/>
          <w:bCs/>
          <w:caps/>
        </w:rPr>
        <w:t>About the Company</w:t>
      </w:r>
    </w:p>
    <w:p w14:paraId="6D392195" w14:textId="77777777" w:rsidR="00E025F7" w:rsidRPr="00A60C7D" w:rsidRDefault="00E025F7" w:rsidP="004D1D62">
      <w:pPr>
        <w:spacing w:after="40" w:line="276" w:lineRule="auto"/>
        <w:ind w:firstLine="720"/>
        <w:jc w:val="both"/>
        <w:rPr>
          <w:rFonts w:ascii="Arial" w:hAnsi="Arial" w:cs="Arial"/>
        </w:rPr>
      </w:pPr>
      <w:r w:rsidRPr="00A60C7D">
        <w:rPr>
          <w:rFonts w:ascii="Arial" w:hAnsi="Arial" w:cs="Arial"/>
        </w:rPr>
        <w:t>Moody's Corporation operates an integrated business delivering credit opinions and data analytics. Moody's Investors Service issues independent credit ratings considered industry benchmarks in sovereign, corporate, and structured finance categories, influencing trillions in investment decision-making. Moody's Analytics complements this with advanced software and data-driven risk solutions enhancing clients' credit management capabilities.</w:t>
      </w:r>
    </w:p>
    <w:p w14:paraId="43CA5215" w14:textId="77777777" w:rsidR="00E025F7" w:rsidRPr="00A60C7D" w:rsidRDefault="00E025F7" w:rsidP="004D1D62">
      <w:pPr>
        <w:spacing w:after="40" w:line="276" w:lineRule="auto"/>
        <w:ind w:firstLine="720"/>
        <w:jc w:val="both"/>
        <w:rPr>
          <w:rFonts w:ascii="Arial" w:hAnsi="Arial" w:cs="Arial"/>
        </w:rPr>
      </w:pPr>
      <w:r w:rsidRPr="00A60C7D">
        <w:rPr>
          <w:rFonts w:ascii="Arial" w:hAnsi="Arial" w:cs="Arial"/>
        </w:rPr>
        <w:t>Internal governance at Moody's includes robust data lineage tracking, methodological transparency through detailed publication of rating approaches, and oversight via surveillance calendars and structured rating-committee decision protocols. As the company expands product offerings and data sources, consistent application of frameworks combined with sector-specific knowledge remains critical.</w:t>
      </w:r>
    </w:p>
    <w:p w14:paraId="43BBBA55" w14:textId="77777777" w:rsidR="00E025F7" w:rsidRPr="00A60C7D" w:rsidRDefault="00E025F7" w:rsidP="004D1D62">
      <w:pPr>
        <w:spacing w:after="40" w:line="276" w:lineRule="auto"/>
        <w:ind w:firstLine="720"/>
        <w:jc w:val="both"/>
        <w:rPr>
          <w:rFonts w:ascii="Arial" w:hAnsi="Arial" w:cs="Arial"/>
        </w:rPr>
      </w:pPr>
      <w:r w:rsidRPr="00A60C7D">
        <w:rPr>
          <w:rFonts w:ascii="Arial" w:hAnsi="Arial" w:cs="Arial"/>
        </w:rPr>
        <w:t>Moody's strategic emphasis balances innovating analytics, particularly ESG incorporation, while maintaining independence and credibility central to its market position.</w:t>
      </w:r>
    </w:p>
    <w:p w14:paraId="162031BA" w14:textId="77777777" w:rsidR="00AA4464" w:rsidRDefault="00AA4464">
      <w:pPr>
        <w:rPr>
          <w:rFonts w:ascii="Arial" w:hAnsi="Arial" w:cs="Arial"/>
          <w:b/>
          <w:bCs/>
        </w:rPr>
      </w:pPr>
      <w:r>
        <w:rPr>
          <w:rFonts w:ascii="Arial" w:hAnsi="Arial" w:cs="Arial"/>
          <w:b/>
          <w:bCs/>
        </w:rPr>
        <w:br w:type="page"/>
      </w:r>
    </w:p>
    <w:p w14:paraId="13E82C64" w14:textId="624542CA" w:rsidR="00E025F7" w:rsidRPr="00A60C7D" w:rsidRDefault="00E025F7" w:rsidP="004D1D62">
      <w:pPr>
        <w:spacing w:after="40" w:line="276" w:lineRule="auto"/>
        <w:jc w:val="both"/>
        <w:rPr>
          <w:rFonts w:ascii="Arial" w:hAnsi="Arial" w:cs="Arial"/>
          <w:b/>
          <w:bCs/>
        </w:rPr>
      </w:pPr>
      <w:r w:rsidRPr="00A60C7D">
        <w:rPr>
          <w:rFonts w:ascii="Arial" w:hAnsi="Arial" w:cs="Arial"/>
          <w:b/>
          <w:bCs/>
        </w:rPr>
        <w:lastRenderedPageBreak/>
        <w:t>Problems Faced by the Company (with 5 Reviews)</w:t>
      </w:r>
    </w:p>
    <w:p w14:paraId="4CFBC62E" w14:textId="77777777" w:rsidR="00E025F7" w:rsidRPr="00A60C7D" w:rsidRDefault="00E025F7" w:rsidP="00AA4464">
      <w:pPr>
        <w:spacing w:after="40" w:line="240" w:lineRule="auto"/>
        <w:ind w:firstLine="720"/>
        <w:jc w:val="both"/>
        <w:rPr>
          <w:rFonts w:ascii="Arial" w:hAnsi="Arial" w:cs="Arial"/>
        </w:rPr>
      </w:pPr>
      <w:r w:rsidRPr="00A60C7D">
        <w:rPr>
          <w:rFonts w:ascii="Arial" w:hAnsi="Arial" w:cs="Arial"/>
        </w:rPr>
        <w:t>Moody's faces execution risks harmonizing heterogeneous issuer data, embedding ESG considerations without diluting credit risk assessments, and modernizing workflows while preserving audit trails. Challenges include data comparability, regulatory expectations for explainability, and managing increasing disclosure requirements.</w:t>
      </w:r>
    </w:p>
    <w:p w14:paraId="71EEA1FB" w14:textId="77777777" w:rsidR="00E025F7" w:rsidRPr="00A60C7D" w:rsidRDefault="00E025F7" w:rsidP="004D1D62">
      <w:pPr>
        <w:spacing w:after="40" w:line="276" w:lineRule="auto"/>
        <w:jc w:val="both"/>
        <w:rPr>
          <w:rFonts w:ascii="Arial" w:hAnsi="Arial" w:cs="Arial"/>
        </w:rPr>
      </w:pPr>
      <w:r w:rsidRPr="00A60C7D">
        <w:rPr>
          <w:rFonts w:ascii="Arial" w:hAnsi="Arial" w:cs="Arial"/>
        </w:rPr>
        <w:t>Literature and policy references include:</w:t>
      </w:r>
    </w:p>
    <w:p w14:paraId="6AC92121" w14:textId="77777777" w:rsidR="00E025F7" w:rsidRPr="00A60C7D" w:rsidRDefault="00E025F7" w:rsidP="00AA4464">
      <w:pPr>
        <w:numPr>
          <w:ilvl w:val="0"/>
          <w:numId w:val="2"/>
        </w:numPr>
        <w:tabs>
          <w:tab w:val="clear" w:pos="720"/>
        </w:tabs>
        <w:spacing w:after="40" w:line="264" w:lineRule="auto"/>
        <w:ind w:left="547"/>
        <w:jc w:val="both"/>
        <w:rPr>
          <w:rFonts w:ascii="Arial" w:hAnsi="Arial" w:cs="Arial"/>
        </w:rPr>
      </w:pPr>
      <w:r w:rsidRPr="00A60C7D">
        <w:rPr>
          <w:rFonts w:ascii="Arial" w:hAnsi="Arial" w:cs="Arial"/>
        </w:rPr>
        <w:t>IOSCO (2015) Code of Conduct reinforcing governance and auditability.</w:t>
      </w:r>
    </w:p>
    <w:p w14:paraId="4108CE13" w14:textId="77777777" w:rsidR="00E025F7" w:rsidRPr="00A60C7D" w:rsidRDefault="00E025F7" w:rsidP="00AA4464">
      <w:pPr>
        <w:numPr>
          <w:ilvl w:val="0"/>
          <w:numId w:val="2"/>
        </w:numPr>
        <w:tabs>
          <w:tab w:val="clear" w:pos="720"/>
        </w:tabs>
        <w:spacing w:after="40" w:line="264" w:lineRule="auto"/>
        <w:ind w:left="547"/>
        <w:jc w:val="both"/>
        <w:rPr>
          <w:rFonts w:ascii="Arial" w:hAnsi="Arial" w:cs="Arial"/>
        </w:rPr>
      </w:pPr>
      <w:r w:rsidRPr="00A60C7D">
        <w:rPr>
          <w:rFonts w:ascii="Arial" w:hAnsi="Arial" w:cs="Arial"/>
        </w:rPr>
        <w:t xml:space="preserve">White (2010) </w:t>
      </w:r>
      <w:proofErr w:type="spellStart"/>
      <w:r w:rsidRPr="00A60C7D">
        <w:rPr>
          <w:rFonts w:ascii="Arial" w:hAnsi="Arial" w:cs="Arial"/>
        </w:rPr>
        <w:t>analyzing</w:t>
      </w:r>
      <w:proofErr w:type="spellEnd"/>
      <w:r w:rsidRPr="00A60C7D">
        <w:rPr>
          <w:rFonts w:ascii="Arial" w:hAnsi="Arial" w:cs="Arial"/>
        </w:rPr>
        <w:t xml:space="preserve"> the issuer-pays model's influence on incentives.</w:t>
      </w:r>
    </w:p>
    <w:p w14:paraId="09D675B7" w14:textId="77777777" w:rsidR="00E025F7" w:rsidRPr="00A60C7D" w:rsidRDefault="00E025F7" w:rsidP="00AA4464">
      <w:pPr>
        <w:numPr>
          <w:ilvl w:val="0"/>
          <w:numId w:val="2"/>
        </w:numPr>
        <w:tabs>
          <w:tab w:val="clear" w:pos="720"/>
        </w:tabs>
        <w:spacing w:after="40" w:line="264" w:lineRule="auto"/>
        <w:ind w:left="547"/>
        <w:jc w:val="both"/>
        <w:rPr>
          <w:rFonts w:ascii="Arial" w:hAnsi="Arial" w:cs="Arial"/>
        </w:rPr>
      </w:pPr>
      <w:r w:rsidRPr="00A60C7D">
        <w:rPr>
          <w:rFonts w:ascii="Arial" w:hAnsi="Arial" w:cs="Arial"/>
        </w:rPr>
        <w:t>Research on governance frameworks suggests transparency aids investor confidence.</w:t>
      </w:r>
    </w:p>
    <w:p w14:paraId="036E938C" w14:textId="77777777" w:rsidR="00E025F7" w:rsidRPr="00A60C7D" w:rsidRDefault="00E025F7" w:rsidP="00AA4464">
      <w:pPr>
        <w:numPr>
          <w:ilvl w:val="0"/>
          <w:numId w:val="2"/>
        </w:numPr>
        <w:tabs>
          <w:tab w:val="clear" w:pos="720"/>
        </w:tabs>
        <w:spacing w:after="40" w:line="264" w:lineRule="auto"/>
        <w:ind w:left="547"/>
        <w:jc w:val="both"/>
        <w:rPr>
          <w:rFonts w:ascii="Arial" w:hAnsi="Arial" w:cs="Arial"/>
        </w:rPr>
      </w:pPr>
      <w:r w:rsidRPr="00A60C7D">
        <w:rPr>
          <w:rFonts w:ascii="Arial" w:hAnsi="Arial" w:cs="Arial"/>
        </w:rPr>
        <w:t>Studies on ESG rating integration highlight methodological challenges and the need for explainable models.</w:t>
      </w:r>
    </w:p>
    <w:p w14:paraId="441F1FD3" w14:textId="77777777" w:rsidR="00E025F7" w:rsidRPr="00A60C7D" w:rsidRDefault="00E025F7" w:rsidP="00AA4464">
      <w:pPr>
        <w:numPr>
          <w:ilvl w:val="0"/>
          <w:numId w:val="2"/>
        </w:numPr>
        <w:tabs>
          <w:tab w:val="clear" w:pos="720"/>
        </w:tabs>
        <w:spacing w:after="40" w:line="264" w:lineRule="auto"/>
        <w:ind w:left="547"/>
        <w:jc w:val="both"/>
        <w:rPr>
          <w:rFonts w:ascii="Arial" w:hAnsi="Arial" w:cs="Arial"/>
        </w:rPr>
      </w:pPr>
      <w:r w:rsidRPr="00A60C7D">
        <w:rPr>
          <w:rFonts w:ascii="Arial" w:hAnsi="Arial" w:cs="Arial"/>
        </w:rPr>
        <w:t>Industry publications emphasize balancing technological modernization with control and documentation rigor.</w:t>
      </w:r>
    </w:p>
    <w:p w14:paraId="7914C3CE" w14:textId="77777777" w:rsidR="00E025F7" w:rsidRPr="00A60C7D" w:rsidRDefault="00E025F7" w:rsidP="004D1D62">
      <w:pPr>
        <w:spacing w:after="40" w:line="276" w:lineRule="auto"/>
        <w:ind w:firstLine="540"/>
        <w:jc w:val="both"/>
        <w:rPr>
          <w:rFonts w:ascii="Arial" w:hAnsi="Arial" w:cs="Arial"/>
        </w:rPr>
      </w:pPr>
      <w:r w:rsidRPr="00A60C7D">
        <w:rPr>
          <w:rFonts w:ascii="Arial" w:hAnsi="Arial" w:cs="Arial"/>
        </w:rPr>
        <w:t>Failure in these aspects may erode trust and expose firms to regulatory actions, requiring concerted governance and process standards.</w:t>
      </w:r>
    </w:p>
    <w:p w14:paraId="2CA8B417" w14:textId="77777777" w:rsidR="00E025F7" w:rsidRPr="00A60C7D" w:rsidRDefault="00E025F7" w:rsidP="004D1D62">
      <w:pPr>
        <w:spacing w:after="40" w:line="276" w:lineRule="auto"/>
        <w:jc w:val="both"/>
        <w:rPr>
          <w:rFonts w:ascii="Arial" w:hAnsi="Arial" w:cs="Arial"/>
          <w:b/>
          <w:bCs/>
        </w:rPr>
      </w:pPr>
      <w:r w:rsidRPr="00A60C7D">
        <w:rPr>
          <w:rFonts w:ascii="Arial" w:hAnsi="Arial" w:cs="Arial"/>
          <w:b/>
          <w:bCs/>
        </w:rPr>
        <w:t>Academic Learning</w:t>
      </w:r>
    </w:p>
    <w:p w14:paraId="5F11B2BE" w14:textId="77777777" w:rsidR="00E025F7" w:rsidRPr="00A60C7D" w:rsidRDefault="00E025F7" w:rsidP="00AA4464">
      <w:pPr>
        <w:spacing w:after="40" w:line="264" w:lineRule="auto"/>
        <w:ind w:firstLine="720"/>
        <w:jc w:val="both"/>
        <w:rPr>
          <w:rFonts w:ascii="Arial" w:hAnsi="Arial" w:cs="Arial"/>
        </w:rPr>
      </w:pPr>
      <w:r w:rsidRPr="00A60C7D">
        <w:rPr>
          <w:rFonts w:ascii="Arial" w:hAnsi="Arial" w:cs="Arial"/>
        </w:rPr>
        <w:t>Students will engage in designing data governance architectures ensuring consistent credit assessment inputs, develop transparent ESG integration protocols aligned with supervisory requirements, and draft methodology documentation enhancing investor understanding without compromising intellectual property.</w:t>
      </w:r>
    </w:p>
    <w:p w14:paraId="4502FB70" w14:textId="77777777" w:rsidR="00E025F7" w:rsidRPr="00A60C7D" w:rsidRDefault="00E025F7" w:rsidP="00AA4464">
      <w:pPr>
        <w:spacing w:after="40" w:line="264" w:lineRule="auto"/>
        <w:ind w:firstLine="720"/>
        <w:jc w:val="both"/>
        <w:rPr>
          <w:rFonts w:ascii="Arial" w:hAnsi="Arial" w:cs="Arial"/>
        </w:rPr>
      </w:pPr>
      <w:r w:rsidRPr="00A60C7D">
        <w:rPr>
          <w:rFonts w:ascii="Arial" w:hAnsi="Arial" w:cs="Arial"/>
        </w:rPr>
        <w:t xml:space="preserve">The case emphasizes creating transparency artifacts like heat maps of key rating drivers and rating committee minutes to document subjective judgments clearly. Deliverables include a data governance blueprint, ESG checklists, and KPI dashboards measuring timeliness, </w:t>
      </w:r>
      <w:r w:rsidRPr="00A60C7D">
        <w:rPr>
          <w:rFonts w:ascii="Arial" w:hAnsi="Arial" w:cs="Arial"/>
        </w:rPr>
        <w:t>methodological stability, and error resolution efficiency.</w:t>
      </w:r>
    </w:p>
    <w:p w14:paraId="1E74DE6B" w14:textId="77777777" w:rsidR="00E025F7" w:rsidRPr="00A60C7D" w:rsidRDefault="00E025F7" w:rsidP="00AA4464">
      <w:pPr>
        <w:spacing w:after="40" w:line="264" w:lineRule="auto"/>
        <w:ind w:firstLine="720"/>
        <w:jc w:val="both"/>
        <w:rPr>
          <w:rFonts w:ascii="Arial" w:hAnsi="Arial" w:cs="Arial"/>
        </w:rPr>
      </w:pPr>
      <w:r w:rsidRPr="00A60C7D">
        <w:rPr>
          <w:rFonts w:ascii="Arial" w:hAnsi="Arial" w:cs="Arial"/>
        </w:rPr>
        <w:t>This equips learners with skills to balance innovative analytics and regulatory compliance in credit rating contexts.</w:t>
      </w:r>
    </w:p>
    <w:p w14:paraId="0485637A" w14:textId="77777777" w:rsidR="00E025F7" w:rsidRPr="00A60C7D" w:rsidRDefault="00E025F7" w:rsidP="004D1D62">
      <w:pPr>
        <w:spacing w:after="40" w:line="276" w:lineRule="auto"/>
        <w:jc w:val="center"/>
        <w:rPr>
          <w:rFonts w:ascii="Arial" w:hAnsi="Arial" w:cs="Arial"/>
          <w:b/>
          <w:bCs/>
          <w:caps/>
        </w:rPr>
      </w:pPr>
      <w:r w:rsidRPr="00A60C7D">
        <w:rPr>
          <w:rFonts w:ascii="Arial" w:hAnsi="Arial" w:cs="Arial"/>
          <w:b/>
          <w:bCs/>
          <w:caps/>
        </w:rPr>
        <w:t>Conclusion</w:t>
      </w:r>
    </w:p>
    <w:p w14:paraId="0C45E011" w14:textId="77777777" w:rsidR="00E025F7" w:rsidRPr="00A60C7D" w:rsidRDefault="00E025F7" w:rsidP="004D1D62">
      <w:pPr>
        <w:spacing w:after="40" w:line="276" w:lineRule="auto"/>
        <w:ind w:firstLine="720"/>
        <w:jc w:val="both"/>
        <w:rPr>
          <w:rFonts w:ascii="Arial" w:hAnsi="Arial" w:cs="Arial"/>
        </w:rPr>
      </w:pPr>
      <w:r w:rsidRPr="00A60C7D">
        <w:rPr>
          <w:rFonts w:ascii="Arial" w:hAnsi="Arial" w:cs="Arial"/>
        </w:rPr>
        <w:t>Moody's Corporation’s credibility stems from disciplined governance coupled with rigorous, transparent methodologies. Competitiveness depends on timely analytics and prudent innovation. Strategic investments in data governance, ESG integration, and automation can reinforce trust, improve responsiveness, and broaden sector coverage.</w:t>
      </w:r>
    </w:p>
    <w:p w14:paraId="6FB1AE1C" w14:textId="77777777" w:rsidR="00E025F7" w:rsidRPr="00A60C7D" w:rsidRDefault="00E025F7" w:rsidP="004D1D62">
      <w:pPr>
        <w:spacing w:after="40" w:line="276" w:lineRule="auto"/>
        <w:ind w:firstLine="720"/>
        <w:jc w:val="both"/>
        <w:rPr>
          <w:rFonts w:ascii="Arial" w:hAnsi="Arial" w:cs="Arial"/>
        </w:rPr>
      </w:pPr>
      <w:r w:rsidRPr="00A60C7D">
        <w:rPr>
          <w:rFonts w:ascii="Arial" w:hAnsi="Arial" w:cs="Arial"/>
        </w:rPr>
        <w:t>The case illustrates how balancing innovation with controls ensures long-term sustainability in a critical financial intermediary role amid evolving market and regulatory landscapes.</w:t>
      </w:r>
    </w:p>
    <w:p w14:paraId="0E716262" w14:textId="77777777" w:rsidR="00E025F7" w:rsidRPr="00A60C7D" w:rsidRDefault="00E025F7" w:rsidP="00AA4464">
      <w:pPr>
        <w:spacing w:after="40" w:line="264" w:lineRule="auto"/>
        <w:jc w:val="center"/>
        <w:rPr>
          <w:rFonts w:ascii="Arial" w:hAnsi="Arial" w:cs="Arial"/>
          <w:b/>
          <w:bCs/>
          <w:caps/>
        </w:rPr>
      </w:pPr>
      <w:r w:rsidRPr="00A60C7D">
        <w:rPr>
          <w:rFonts w:ascii="Arial" w:hAnsi="Arial" w:cs="Arial"/>
          <w:b/>
          <w:bCs/>
          <w:caps/>
        </w:rPr>
        <w:t>Case Questions</w:t>
      </w:r>
    </w:p>
    <w:p w14:paraId="2ED806F8" w14:textId="77777777" w:rsidR="00E025F7" w:rsidRPr="00A60C7D" w:rsidRDefault="00E025F7" w:rsidP="00AA4464">
      <w:pPr>
        <w:numPr>
          <w:ilvl w:val="0"/>
          <w:numId w:val="3"/>
        </w:numPr>
        <w:tabs>
          <w:tab w:val="clear" w:pos="720"/>
        </w:tabs>
        <w:spacing w:after="40" w:line="264" w:lineRule="auto"/>
        <w:ind w:left="450"/>
        <w:jc w:val="both"/>
        <w:rPr>
          <w:rFonts w:ascii="Arial" w:hAnsi="Arial" w:cs="Arial"/>
        </w:rPr>
      </w:pPr>
      <w:r w:rsidRPr="00A60C7D">
        <w:rPr>
          <w:rFonts w:ascii="Arial" w:hAnsi="Arial" w:cs="Arial"/>
        </w:rPr>
        <w:t>Design a data-governance blueprint supporting comparable credit inputs across sectors.</w:t>
      </w:r>
    </w:p>
    <w:p w14:paraId="309028DE" w14:textId="77777777" w:rsidR="00E025F7" w:rsidRPr="00A60C7D" w:rsidRDefault="00E025F7" w:rsidP="00AA4464">
      <w:pPr>
        <w:numPr>
          <w:ilvl w:val="0"/>
          <w:numId w:val="3"/>
        </w:numPr>
        <w:tabs>
          <w:tab w:val="clear" w:pos="720"/>
        </w:tabs>
        <w:spacing w:after="40" w:line="264" w:lineRule="auto"/>
        <w:ind w:left="450"/>
        <w:jc w:val="both"/>
        <w:rPr>
          <w:rFonts w:ascii="Arial" w:hAnsi="Arial" w:cs="Arial"/>
        </w:rPr>
      </w:pPr>
      <w:r w:rsidRPr="00A60C7D">
        <w:rPr>
          <w:rFonts w:ascii="Arial" w:hAnsi="Arial" w:cs="Arial"/>
        </w:rPr>
        <w:t>Draft ESG integration principles that are credit-focused and auditable under global supervisory codes.</w:t>
      </w:r>
    </w:p>
    <w:p w14:paraId="257C9F25" w14:textId="77777777" w:rsidR="00E025F7" w:rsidRPr="00A60C7D" w:rsidRDefault="00E025F7" w:rsidP="00AA4464">
      <w:pPr>
        <w:numPr>
          <w:ilvl w:val="0"/>
          <w:numId w:val="3"/>
        </w:numPr>
        <w:tabs>
          <w:tab w:val="clear" w:pos="720"/>
        </w:tabs>
        <w:spacing w:after="40" w:line="264" w:lineRule="auto"/>
        <w:ind w:left="450"/>
        <w:jc w:val="both"/>
        <w:rPr>
          <w:rFonts w:ascii="Arial" w:hAnsi="Arial" w:cs="Arial"/>
        </w:rPr>
      </w:pPr>
      <w:r w:rsidRPr="00A60C7D">
        <w:rPr>
          <w:rFonts w:ascii="Arial" w:hAnsi="Arial" w:cs="Arial"/>
        </w:rPr>
        <w:t>Propose transparency artifacts that improve investor comprehension while protecting proprietary methodologies.</w:t>
      </w:r>
    </w:p>
    <w:p w14:paraId="38F227C2" w14:textId="77777777" w:rsidR="00E025F7" w:rsidRPr="00A60C7D" w:rsidRDefault="00E025F7" w:rsidP="00AA4464">
      <w:pPr>
        <w:numPr>
          <w:ilvl w:val="0"/>
          <w:numId w:val="3"/>
        </w:numPr>
        <w:tabs>
          <w:tab w:val="clear" w:pos="720"/>
        </w:tabs>
        <w:spacing w:after="40" w:line="264" w:lineRule="auto"/>
        <w:ind w:left="450"/>
        <w:jc w:val="both"/>
        <w:rPr>
          <w:rFonts w:ascii="Arial" w:hAnsi="Arial" w:cs="Arial"/>
        </w:rPr>
      </w:pPr>
      <w:r w:rsidRPr="00A60C7D">
        <w:rPr>
          <w:rFonts w:ascii="Arial" w:hAnsi="Arial" w:cs="Arial"/>
        </w:rPr>
        <w:t>Create a KPI dashboard tracking timeliness, analytic stability, and methodological error corrections.</w:t>
      </w:r>
    </w:p>
    <w:p w14:paraId="3CEC04BC" w14:textId="77777777" w:rsidR="00E025F7" w:rsidRPr="00A60C7D" w:rsidRDefault="00E025F7" w:rsidP="00AA4464">
      <w:pPr>
        <w:spacing w:after="120" w:line="240" w:lineRule="auto"/>
        <w:jc w:val="center"/>
        <w:rPr>
          <w:rFonts w:ascii="Arial" w:hAnsi="Arial" w:cs="Arial"/>
          <w:b/>
          <w:bCs/>
          <w:caps/>
        </w:rPr>
      </w:pPr>
      <w:r w:rsidRPr="00A60C7D">
        <w:rPr>
          <w:rFonts w:ascii="Arial" w:hAnsi="Arial" w:cs="Arial"/>
          <w:b/>
          <w:bCs/>
          <w:caps/>
        </w:rPr>
        <w:t>References</w:t>
      </w:r>
    </w:p>
    <w:p w14:paraId="457E702C" w14:textId="77777777" w:rsidR="00E025F7" w:rsidRPr="00A60C7D" w:rsidRDefault="00E025F7" w:rsidP="00AA4464">
      <w:pPr>
        <w:spacing w:after="120" w:line="240" w:lineRule="auto"/>
        <w:ind w:left="720" w:hanging="634"/>
        <w:jc w:val="both"/>
        <w:rPr>
          <w:rFonts w:ascii="Arial" w:hAnsi="Arial" w:cs="Arial"/>
        </w:rPr>
      </w:pPr>
      <w:r w:rsidRPr="00A60C7D">
        <w:rPr>
          <w:rFonts w:ascii="Arial" w:hAnsi="Arial" w:cs="Arial"/>
        </w:rPr>
        <w:t>International Organization of Securities Commissions. (2015). Code of conduct fundamentals for credit rating agencies.</w:t>
      </w:r>
    </w:p>
    <w:p w14:paraId="1EA21397" w14:textId="77777777" w:rsidR="00E025F7" w:rsidRPr="00A60C7D" w:rsidRDefault="00E025F7" w:rsidP="00AA4464">
      <w:pPr>
        <w:spacing w:after="120" w:line="240" w:lineRule="auto"/>
        <w:ind w:left="720" w:hanging="634"/>
        <w:jc w:val="both"/>
        <w:rPr>
          <w:rFonts w:ascii="Arial" w:hAnsi="Arial" w:cs="Arial"/>
        </w:rPr>
      </w:pPr>
      <w:r w:rsidRPr="00A60C7D">
        <w:rPr>
          <w:rFonts w:ascii="Arial" w:hAnsi="Arial" w:cs="Arial"/>
        </w:rPr>
        <w:t>Midde, A. V., &amp; Shalini, R. (2025). Moody's Corporation: Balancing credibility and innovation in credit ratings (Unpublished student case study).</w:t>
      </w:r>
    </w:p>
    <w:p w14:paraId="791131D0" w14:textId="45005342" w:rsidR="00A60C7D" w:rsidRPr="00AA4464" w:rsidRDefault="00E025F7" w:rsidP="00AA4464">
      <w:pPr>
        <w:spacing w:after="120" w:line="240" w:lineRule="auto"/>
        <w:ind w:left="720" w:hanging="634"/>
        <w:jc w:val="both"/>
        <w:rPr>
          <w:rFonts w:ascii="Arial" w:hAnsi="Arial" w:cs="Arial"/>
        </w:rPr>
        <w:sectPr w:rsidR="00A60C7D" w:rsidRPr="00AA4464" w:rsidSect="00A60C7D">
          <w:headerReference w:type="even" r:id="rId10"/>
          <w:type w:val="continuous"/>
          <w:pgSz w:w="11906" w:h="16838" w:code="9"/>
          <w:pgMar w:top="1440" w:right="1440" w:bottom="1440" w:left="1440" w:header="1008" w:footer="720" w:gutter="0"/>
          <w:cols w:num="2" w:space="708"/>
          <w:docGrid w:linePitch="360"/>
        </w:sectPr>
      </w:pPr>
      <w:r w:rsidRPr="00A60C7D">
        <w:rPr>
          <w:rFonts w:ascii="Arial" w:hAnsi="Arial" w:cs="Arial"/>
        </w:rPr>
        <w:t xml:space="preserve">White, L. J. (2010). Markets: The credit rating agencies. </w:t>
      </w:r>
      <w:r w:rsidRPr="00A60C7D">
        <w:rPr>
          <w:rFonts w:ascii="Arial" w:hAnsi="Arial" w:cs="Arial"/>
          <w:i/>
          <w:iCs/>
        </w:rPr>
        <w:t>Journal of Economic Perspectives</w:t>
      </w:r>
      <w:r w:rsidRPr="00A60C7D">
        <w:rPr>
          <w:rFonts w:ascii="Arial" w:hAnsi="Arial" w:cs="Arial"/>
        </w:rPr>
        <w:t>, 24(2), 211-226.</w:t>
      </w:r>
    </w:p>
    <w:p w14:paraId="19444B52" w14:textId="77777777" w:rsidR="00853FEB" w:rsidRPr="00E025F7" w:rsidRDefault="00853FEB" w:rsidP="00E025F7">
      <w:pPr>
        <w:jc w:val="both"/>
        <w:rPr>
          <w:rFonts w:ascii="Times New Roman" w:hAnsi="Times New Roman" w:cs="Times New Roman"/>
          <w:sz w:val="24"/>
          <w:szCs w:val="24"/>
        </w:rPr>
      </w:pPr>
    </w:p>
    <w:sectPr w:rsidR="00853FEB" w:rsidRPr="00E025F7" w:rsidSect="00A60C7D">
      <w:type w:val="continuous"/>
      <w:pgSz w:w="11906" w:h="16838" w:code="9"/>
      <w:pgMar w:top="1440" w:right="1440" w:bottom="1440" w:left="1440"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BAB7" w14:textId="77777777" w:rsidR="00F76B5D" w:rsidRDefault="00F76B5D" w:rsidP="00EA16E6">
      <w:pPr>
        <w:spacing w:after="0" w:line="240" w:lineRule="auto"/>
      </w:pPr>
      <w:r>
        <w:separator/>
      </w:r>
    </w:p>
  </w:endnote>
  <w:endnote w:type="continuationSeparator" w:id="0">
    <w:p w14:paraId="7B578E49" w14:textId="77777777" w:rsidR="00F76B5D" w:rsidRDefault="00F76B5D" w:rsidP="00EA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E5F3" w14:textId="77777777" w:rsidR="00F76B5D" w:rsidRDefault="00F76B5D" w:rsidP="00EA16E6">
      <w:pPr>
        <w:spacing w:after="0" w:line="240" w:lineRule="auto"/>
      </w:pPr>
      <w:r>
        <w:separator/>
      </w:r>
    </w:p>
  </w:footnote>
  <w:footnote w:type="continuationSeparator" w:id="0">
    <w:p w14:paraId="3A109FAF" w14:textId="77777777" w:rsidR="00F76B5D" w:rsidRDefault="00F76B5D" w:rsidP="00EA1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215F" w14:textId="101FC1CF" w:rsidR="00EA16E6" w:rsidRPr="00EA16E6" w:rsidRDefault="00EA16E6" w:rsidP="00EA16E6">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25</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November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9095" w14:textId="23149D88" w:rsidR="00EA16E6" w:rsidRPr="00EA16E6" w:rsidRDefault="00EA16E6" w:rsidP="00EA16E6">
    <w:pPr>
      <w:pStyle w:val="Header"/>
      <w:pBdr>
        <w:bottom w:val="single" w:sz="4" w:space="1" w:color="auto"/>
      </w:pBdr>
      <w:rPr>
        <w:rFonts w:ascii="Arial" w:hAnsi="Arial" w:cs="Arial"/>
        <w:i/>
        <w:iCs/>
        <w:sz w:val="16"/>
        <w:szCs w:val="16"/>
      </w:rPr>
    </w:pPr>
    <w:r w:rsidRPr="00442A99">
      <w:rPr>
        <w:rFonts w:ascii="Arial" w:hAnsi="Arial" w:cs="Arial"/>
        <w:i/>
        <w:iCs/>
        <w:sz w:val="16"/>
        <w:szCs w:val="16"/>
      </w:rPr>
      <w:t>2025</w:t>
    </w:r>
    <w:r w:rsidRPr="00442A99">
      <w:rPr>
        <w:rFonts w:ascii="Arial" w:hAnsi="Arial" w:cs="Arial"/>
        <w:i/>
        <w:iCs/>
        <w:sz w:val="16"/>
        <w:szCs w:val="16"/>
      </w:rPr>
      <w:tab/>
    </w:r>
    <w:r>
      <w:rPr>
        <w:rFonts w:ascii="Arial" w:hAnsi="Arial" w:cs="Arial"/>
        <w:i/>
        <w:iCs/>
        <w:sz w:val="16"/>
        <w:szCs w:val="16"/>
      </w:rPr>
      <w:t>Ashwin Vasudevan Midde, Dr. Shalini R</w:t>
    </w:r>
    <w:r w:rsidRPr="00442A99">
      <w:rPr>
        <w:rFonts w:ascii="Arial" w:hAnsi="Arial" w:cs="Arial"/>
        <w:i/>
        <w:iCs/>
        <w:sz w:val="16"/>
        <w:szCs w:val="16"/>
      </w:rPr>
      <w:tab/>
    </w:r>
    <w:r w:rsidRPr="00442A99">
      <w:rPr>
        <w:rFonts w:ascii="Arial" w:hAnsi="Arial" w:cs="Arial"/>
        <w:i/>
        <w:iCs/>
        <w:sz w:val="16"/>
        <w:szCs w:val="16"/>
      </w:rPr>
      <w:fldChar w:fldCharType="begin"/>
    </w:r>
    <w:r w:rsidRPr="00442A99">
      <w:rPr>
        <w:rFonts w:ascii="Arial" w:hAnsi="Arial" w:cs="Arial"/>
        <w:i/>
        <w:iCs/>
        <w:sz w:val="16"/>
        <w:szCs w:val="16"/>
      </w:rPr>
      <w:instrText xml:space="preserve"> PAGE   \* MERGEFORMAT </w:instrText>
    </w:r>
    <w:r w:rsidRPr="00442A99">
      <w:rPr>
        <w:rFonts w:ascii="Arial" w:hAnsi="Arial" w:cs="Arial"/>
        <w:i/>
        <w:iCs/>
        <w:sz w:val="16"/>
        <w:szCs w:val="16"/>
      </w:rPr>
      <w:fldChar w:fldCharType="separate"/>
    </w:r>
    <w:r>
      <w:rPr>
        <w:rFonts w:ascii="Arial" w:hAnsi="Arial" w:cs="Arial"/>
        <w:i/>
        <w:iCs/>
        <w:sz w:val="16"/>
        <w:szCs w:val="16"/>
      </w:rPr>
      <w:t>24</w:t>
    </w:r>
    <w:r w:rsidRPr="00442A99">
      <w:rPr>
        <w:rFonts w:ascii="Arial" w:hAnsi="Arial" w:cs="Arial"/>
        <w:i/>
        <w:iCs/>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3900" w14:textId="266B0805" w:rsidR="005B419E" w:rsidRPr="00EA16E6" w:rsidRDefault="005B419E" w:rsidP="00EA16E6">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25</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3EA"/>
    <w:multiLevelType w:val="multilevel"/>
    <w:tmpl w:val="1AE07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E32875"/>
    <w:multiLevelType w:val="multilevel"/>
    <w:tmpl w:val="753C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D47A0"/>
    <w:multiLevelType w:val="multilevel"/>
    <w:tmpl w:val="1584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B71D34"/>
    <w:multiLevelType w:val="multilevel"/>
    <w:tmpl w:val="07882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2104B4"/>
    <w:multiLevelType w:val="multilevel"/>
    <w:tmpl w:val="5CA0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711658">
    <w:abstractNumId w:val="4"/>
  </w:num>
  <w:num w:numId="2" w16cid:durableId="382292428">
    <w:abstractNumId w:val="1"/>
  </w:num>
  <w:num w:numId="3" w16cid:durableId="1919316851">
    <w:abstractNumId w:val="3"/>
  </w:num>
  <w:num w:numId="4" w16cid:durableId="2139568006">
    <w:abstractNumId w:val="2"/>
  </w:num>
  <w:num w:numId="5" w16cid:durableId="199957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F7"/>
    <w:rsid w:val="002241B1"/>
    <w:rsid w:val="004D1D62"/>
    <w:rsid w:val="00552531"/>
    <w:rsid w:val="00587473"/>
    <w:rsid w:val="005B419E"/>
    <w:rsid w:val="00733A76"/>
    <w:rsid w:val="00853FEB"/>
    <w:rsid w:val="00A60C7D"/>
    <w:rsid w:val="00AA4464"/>
    <w:rsid w:val="00C734D0"/>
    <w:rsid w:val="00D54C29"/>
    <w:rsid w:val="00E025F7"/>
    <w:rsid w:val="00E36D86"/>
    <w:rsid w:val="00EA16E6"/>
    <w:rsid w:val="00EF5F48"/>
    <w:rsid w:val="00F76B5D"/>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0860"/>
  <w15:chartTrackingRefBased/>
  <w15:docId w15:val="{1B93FB5D-9C97-49CB-B8D2-C17CCA63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5F7"/>
    <w:rPr>
      <w:color w:val="0563C1" w:themeColor="hyperlink"/>
      <w:u w:val="single"/>
    </w:rPr>
  </w:style>
  <w:style w:type="table" w:styleId="TableGrid">
    <w:name w:val="Table Grid"/>
    <w:basedOn w:val="TableNormal"/>
    <w:uiPriority w:val="39"/>
    <w:rsid w:val="00A60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16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6E6"/>
  </w:style>
  <w:style w:type="paragraph" w:styleId="Footer">
    <w:name w:val="footer"/>
    <w:basedOn w:val="Normal"/>
    <w:link w:val="FooterChar"/>
    <w:uiPriority w:val="99"/>
    <w:unhideWhenUsed/>
    <w:rsid w:val="00EA16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6E6"/>
  </w:style>
  <w:style w:type="character" w:styleId="UnresolvedMention">
    <w:name w:val="Unresolved Mention"/>
    <w:basedOn w:val="DefaultParagraphFont"/>
    <w:uiPriority w:val="99"/>
    <w:semiHidden/>
    <w:unhideWhenUsed/>
    <w:rsid w:val="00EF5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57470">
      <w:bodyDiv w:val="1"/>
      <w:marLeft w:val="0"/>
      <w:marRight w:val="0"/>
      <w:marTop w:val="0"/>
      <w:marBottom w:val="0"/>
      <w:divBdr>
        <w:top w:val="none" w:sz="0" w:space="0" w:color="auto"/>
        <w:left w:val="none" w:sz="0" w:space="0" w:color="auto"/>
        <w:bottom w:val="none" w:sz="0" w:space="0" w:color="auto"/>
        <w:right w:val="none" w:sz="0" w:space="0" w:color="auto"/>
      </w:divBdr>
      <w:divsChild>
        <w:div w:id="1171068169">
          <w:marLeft w:val="0"/>
          <w:marRight w:val="0"/>
          <w:marTop w:val="0"/>
          <w:marBottom w:val="0"/>
          <w:divBdr>
            <w:top w:val="none" w:sz="0" w:space="0" w:color="auto"/>
            <w:left w:val="none" w:sz="0" w:space="0" w:color="auto"/>
            <w:bottom w:val="none" w:sz="0" w:space="0" w:color="auto"/>
            <w:right w:val="none" w:sz="0" w:space="0" w:color="auto"/>
          </w:divBdr>
        </w:div>
      </w:divsChild>
    </w:div>
    <w:div w:id="1347709807">
      <w:bodyDiv w:val="1"/>
      <w:marLeft w:val="0"/>
      <w:marRight w:val="0"/>
      <w:marTop w:val="0"/>
      <w:marBottom w:val="0"/>
      <w:divBdr>
        <w:top w:val="none" w:sz="0" w:space="0" w:color="auto"/>
        <w:left w:val="none" w:sz="0" w:space="0" w:color="auto"/>
        <w:bottom w:val="none" w:sz="0" w:space="0" w:color="auto"/>
        <w:right w:val="none" w:sz="0" w:space="0" w:color="auto"/>
      </w:divBdr>
      <w:divsChild>
        <w:div w:id="29421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7193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CMS-STAFF139</dc:creator>
  <cp:keywords/>
  <dc:description/>
  <cp:lastModifiedBy>Ravi chandran</cp:lastModifiedBy>
  <cp:revision>10</cp:revision>
  <dcterms:created xsi:type="dcterms:W3CDTF">2025-10-28T05:37:00Z</dcterms:created>
  <dcterms:modified xsi:type="dcterms:W3CDTF">2025-11-26T06:09:00Z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2025-11-07T04:57:45Z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dbf581b6-aa41-4ba5-9f7d-db624bb3bf43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