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EED" w:rsidRDefault="00BF699F" w:rsidP="008C3EED">
      <w:pPr>
        <w:spacing w:after="0" w:line="160" w:lineRule="atLeast"/>
        <w:jc w:val="both"/>
        <w:rPr>
          <w:rFonts w:ascii="Arial" w:eastAsia="Arial" w:hAnsi="Arial" w:cs="Arial"/>
          <w:i/>
          <w:color w:val="000000"/>
          <w:spacing w:val="-1"/>
          <w:sz w:val="14"/>
          <w:szCs w:val="14"/>
        </w:rPr>
      </w:pPr>
      <w:r>
        <w:rPr>
          <w:rFonts w:ascii="Arial" w:eastAsia="Arial" w:hAnsi="Arial" w:cs="Arial"/>
          <w:i/>
          <w:noProof/>
          <w:color w:val="000000"/>
          <w:sz w:val="14"/>
          <w:szCs w:val="14"/>
        </w:rPr>
        <mc:AlternateContent>
          <mc:Choice Requires="wps">
            <w:drawing>
              <wp:anchor distT="0" distB="0" distL="114300" distR="114300" simplePos="0" relativeHeight="251659264" behindDoc="0" locked="0" layoutInCell="1" allowOverlap="1">
                <wp:simplePos x="0" y="0"/>
                <wp:positionH relativeFrom="column">
                  <wp:posOffset>-116958</wp:posOffset>
                </wp:positionH>
                <wp:positionV relativeFrom="paragraph">
                  <wp:posOffset>-372627</wp:posOffset>
                </wp:positionV>
                <wp:extent cx="6039293" cy="265814"/>
                <wp:effectExtent l="0" t="0" r="19050" b="20320"/>
                <wp:wrapNone/>
                <wp:docPr id="1220853310" name="Rectangle 1"/>
                <wp:cNvGraphicFramePr/>
                <a:graphic xmlns:a="http://schemas.openxmlformats.org/drawingml/2006/main">
                  <a:graphicData uri="http://schemas.microsoft.com/office/word/2010/wordprocessingShape">
                    <wps:wsp>
                      <wps:cNvSpPr/>
                      <wps:spPr>
                        <a:xfrm>
                          <a:off x="0" y="0"/>
                          <a:ext cx="6039293" cy="26581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DE8C7" id="Rectangle 1" o:spid="_x0000_s1026" style="position:absolute;margin-left:-9.2pt;margin-top:-29.35pt;width:475.5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" fillcolor="white [3212]" strokecolor="white [3212]" strokeweight="1pt"/>
            </w:pict>
          </mc:Fallback>
        </mc:AlternateContent>
      </w:r>
      <w:r w:rsidR="008C3EED">
        <w:rPr>
          <w:rFonts w:ascii="Arial" w:eastAsia="Arial" w:hAnsi="Arial" w:cs="Arial"/>
          <w:i/>
          <w:color w:val="000000"/>
          <w:sz w:val="14"/>
          <w:szCs w:val="14"/>
        </w:rPr>
        <w:t>©</w:t>
      </w:r>
      <w:r w:rsidR="008C3EED">
        <w:rPr>
          <w:rFonts w:ascii="Arial" w:eastAsia="Arial" w:hAnsi="Arial" w:cs="Arial"/>
          <w:i/>
          <w:color w:val="000000"/>
          <w:spacing w:val="-1"/>
          <w:sz w:val="14"/>
          <w:szCs w:val="14"/>
        </w:rPr>
        <w:t xml:space="preserve"> </w:t>
      </w:r>
      <w:r w:rsidR="008C3EED">
        <w:rPr>
          <w:rFonts w:ascii="Arial" w:eastAsia="Arial" w:hAnsi="Arial" w:cs="Arial"/>
          <w:i/>
          <w:color w:val="000000"/>
          <w:sz w:val="14"/>
          <w:szCs w:val="14"/>
        </w:rPr>
        <w:t>International</w:t>
      </w:r>
      <w:r w:rsidR="008C3EED">
        <w:rPr>
          <w:rFonts w:ascii="Arial" w:eastAsia="Arial" w:hAnsi="Arial" w:cs="Arial"/>
          <w:i/>
          <w:color w:val="000000"/>
          <w:spacing w:val="-1"/>
          <w:sz w:val="14"/>
          <w:szCs w:val="14"/>
        </w:rPr>
        <w:t xml:space="preserve"> Academic Research Journal of Economics and Finance</w:t>
      </w:r>
      <w:r w:rsidR="008C3EED">
        <w:rPr>
          <w:rFonts w:ascii="Arial" w:eastAsia="Arial" w:hAnsi="Arial" w:cs="Arial"/>
          <w:i/>
          <w:color w:val="000000"/>
          <w:spacing w:val="-1"/>
          <w:sz w:val="14"/>
          <w:szCs w:val="14"/>
        </w:rPr>
        <w:tab/>
      </w:r>
      <w:r w:rsidR="008C3EED">
        <w:rPr>
          <w:rFonts w:ascii="Arial" w:eastAsia="Arial" w:hAnsi="Arial" w:cs="Arial"/>
          <w:i/>
          <w:color w:val="000000"/>
          <w:spacing w:val="-1"/>
          <w:sz w:val="14"/>
          <w:szCs w:val="14"/>
        </w:rPr>
        <w:tab/>
      </w:r>
      <w:r w:rsidR="008C3EED">
        <w:rPr>
          <w:rFonts w:ascii="Arial" w:eastAsia="Arial" w:hAnsi="Arial" w:cs="Arial"/>
          <w:i/>
          <w:color w:val="000000"/>
          <w:spacing w:val="-1"/>
          <w:sz w:val="14"/>
          <w:szCs w:val="14"/>
        </w:rPr>
        <w:tab/>
        <w:t xml:space="preserve">                                </w:t>
      </w:r>
      <w:r w:rsidR="000C5524">
        <w:rPr>
          <w:rFonts w:ascii="Arial" w:eastAsia="Arial" w:hAnsi="Arial" w:cs="Arial"/>
          <w:i/>
          <w:color w:val="000000"/>
          <w:spacing w:val="-1"/>
          <w:sz w:val="14"/>
          <w:szCs w:val="14"/>
        </w:rPr>
        <w:t xml:space="preserve">        </w:t>
      </w:r>
      <w:r w:rsidR="008C3EED">
        <w:rPr>
          <w:rFonts w:ascii="Arial" w:eastAsia="Arial" w:hAnsi="Arial" w:cs="Arial"/>
          <w:i/>
          <w:color w:val="000000" w:themeColor="text1"/>
          <w:spacing w:val="-1"/>
          <w:sz w:val="14"/>
          <w:szCs w:val="14"/>
        </w:rPr>
        <w:t>ISSN:2227-1287</w:t>
      </w:r>
    </w:p>
    <w:p w:rsidR="007419B7" w:rsidRPr="000C5524" w:rsidRDefault="008C3EED" w:rsidP="00B557A2">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Volume 8, Issue No:1, December 2025</w:t>
      </w:r>
      <w:r w:rsidR="000C5524">
        <w:rPr>
          <w:rFonts w:ascii="Arial" w:eastAsia="Arial" w:hAnsi="Arial" w:cs="Arial"/>
          <w:i/>
          <w:color w:val="000000"/>
          <w:spacing w:val="-1"/>
          <w:sz w:val="14"/>
          <w:szCs w:val="14"/>
        </w:rPr>
        <w:tab/>
      </w:r>
      <w:r w:rsidR="000C5524">
        <w:rPr>
          <w:rFonts w:ascii="Arial" w:eastAsia="Arial" w:hAnsi="Arial" w:cs="Arial"/>
          <w:i/>
          <w:color w:val="000000"/>
          <w:spacing w:val="-1"/>
          <w:sz w:val="14"/>
          <w:szCs w:val="14"/>
        </w:rPr>
        <w:tab/>
      </w:r>
      <w:r w:rsidR="000C5524">
        <w:rPr>
          <w:rFonts w:ascii="Arial" w:eastAsia="Arial" w:hAnsi="Arial" w:cs="Arial"/>
          <w:i/>
          <w:color w:val="000000"/>
          <w:spacing w:val="-1"/>
          <w:sz w:val="14"/>
          <w:szCs w:val="14"/>
        </w:rPr>
        <w:tab/>
      </w:r>
      <w:r w:rsidR="000C5524">
        <w:rPr>
          <w:rFonts w:ascii="Arial" w:eastAsia="Arial" w:hAnsi="Arial" w:cs="Arial"/>
          <w:i/>
          <w:color w:val="000000"/>
          <w:spacing w:val="-1"/>
          <w:sz w:val="14"/>
          <w:szCs w:val="14"/>
        </w:rPr>
        <w:tab/>
      </w:r>
      <w:r w:rsidR="000C5524">
        <w:rPr>
          <w:rFonts w:ascii="Arial" w:eastAsia="Arial" w:hAnsi="Arial" w:cs="Arial"/>
          <w:i/>
          <w:color w:val="000000"/>
          <w:spacing w:val="-1"/>
          <w:sz w:val="14"/>
          <w:szCs w:val="14"/>
        </w:rPr>
        <w:tab/>
        <w:t xml:space="preserve">          </w:t>
      </w:r>
      <w:r>
        <w:rPr>
          <w:rFonts w:ascii="Arial" w:eastAsia="Arial" w:hAnsi="Arial" w:cs="Arial"/>
          <w:i/>
          <w:color w:val="000000"/>
          <w:spacing w:val="-1"/>
          <w:sz w:val="14"/>
          <w:szCs w:val="14"/>
        </w:rPr>
        <w:t xml:space="preserve">DOI: </w:t>
      </w:r>
      <w:hyperlink r:id="rId7" w:history="1">
        <w:r w:rsidR="00B557A2" w:rsidRPr="002F25DD">
          <w:rPr>
            <w:rStyle w:val="Hyperlink"/>
            <w:rFonts w:ascii="Arial" w:eastAsia="Arial" w:hAnsi="Arial" w:cs="Arial"/>
            <w:i/>
            <w:spacing w:val="-1"/>
            <w:sz w:val="14"/>
            <w:szCs w:val="14"/>
          </w:rPr>
          <w:t>https://doi.org/10.5281/zenodo.</w:t>
        </w:r>
        <w:r w:rsidR="00B557A2" w:rsidRPr="002F25DD">
          <w:rPr>
            <w:rStyle w:val="Hyperlink"/>
            <w:rFonts w:ascii="Arial" w:eastAsia="Arial" w:hAnsi="Arial" w:cs="Arial"/>
            <w:b/>
            <w:bCs/>
            <w:i/>
            <w:spacing w:val="-1"/>
            <w:sz w:val="14"/>
            <w:szCs w:val="14"/>
          </w:rPr>
          <w:t>17810271</w:t>
        </w:r>
      </w:hyperlink>
    </w:p>
    <w:p w:rsidR="00B557A2" w:rsidRPr="00EB6929" w:rsidRDefault="00B557A2" w:rsidP="00B557A2">
      <w:pPr>
        <w:spacing w:after="0" w:line="160" w:lineRule="atLeast"/>
        <w:jc w:val="both"/>
        <w:rPr>
          <w:rFonts w:ascii="Arial" w:eastAsia="Times New Roman" w:hAnsi="Arial" w:cs="Arial"/>
          <w:b/>
          <w:bCs/>
          <w:kern w:val="36"/>
          <w:sz w:val="26"/>
          <w:szCs w:val="26"/>
          <w:lang w:eastAsia="en-IN"/>
        </w:rPr>
      </w:pPr>
    </w:p>
    <w:p w:rsidR="00877B0F" w:rsidRPr="000C5524" w:rsidRDefault="00877B0F" w:rsidP="00877B0F">
      <w:pPr>
        <w:jc w:val="center"/>
        <w:rPr>
          <w:rFonts w:ascii="Times New Roman" w:hAnsi="Times New Roman" w:cs="Times New Roman"/>
          <w:b/>
          <w:bCs/>
          <w:sz w:val="32"/>
          <w:szCs w:val="32"/>
        </w:rPr>
      </w:pPr>
      <w:r w:rsidRPr="000C5524">
        <w:rPr>
          <w:rFonts w:ascii="Times New Roman" w:hAnsi="Times New Roman" w:cs="Times New Roman"/>
          <w:b/>
          <w:bCs/>
          <w:sz w:val="32"/>
          <w:szCs w:val="32"/>
        </w:rPr>
        <w:t>Currency vs Confidence: A Phased Hedging Playbook for a Growing Exporter</w:t>
      </w:r>
    </w:p>
    <w:tbl>
      <w:tblPr>
        <w:tblStyle w:val="TableGrid"/>
        <w:tblW w:w="0" w:type="auto"/>
        <w:tblInd w:w="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6"/>
      </w:tblGrid>
      <w:tr w:rsidR="007419B7" w:rsidRPr="00EB6929" w:rsidTr="003147A7">
        <w:tc>
          <w:tcPr>
            <w:tcW w:w="3828" w:type="dxa"/>
          </w:tcPr>
          <w:p w:rsidR="00EB1C29" w:rsidRPr="000C5524" w:rsidRDefault="000C5524" w:rsidP="00EB1C29">
            <w:pPr>
              <w:contextualSpacing/>
              <w:jc w:val="center"/>
              <w:rPr>
                <w:rFonts w:cstheme="minorHAnsi"/>
                <w:b/>
                <w:bCs/>
                <w:sz w:val="16"/>
                <w:szCs w:val="16"/>
              </w:rPr>
            </w:pPr>
            <w:r w:rsidRPr="000C5524">
              <w:rPr>
                <w:rFonts w:cstheme="minorHAnsi"/>
                <w:b/>
                <w:bCs/>
                <w:sz w:val="16"/>
                <w:szCs w:val="16"/>
              </w:rPr>
              <w:t xml:space="preserve">Vihasini A </w:t>
            </w:r>
          </w:p>
          <w:p w:rsidR="007419B7" w:rsidRPr="000C5524" w:rsidRDefault="007419B7" w:rsidP="007419B7">
            <w:pPr>
              <w:contextualSpacing/>
              <w:jc w:val="center"/>
              <w:rPr>
                <w:rFonts w:cstheme="minorHAnsi"/>
                <w:sz w:val="16"/>
                <w:szCs w:val="16"/>
              </w:rPr>
            </w:pPr>
            <w:r w:rsidRPr="000C5524">
              <w:rPr>
                <w:rFonts w:cstheme="minorHAnsi"/>
                <w:sz w:val="16"/>
                <w:szCs w:val="16"/>
              </w:rPr>
              <w:t>Student, Faculty of Management Studies,</w:t>
            </w:r>
          </w:p>
          <w:p w:rsidR="007419B7" w:rsidRPr="000C5524" w:rsidRDefault="007419B7" w:rsidP="007419B7">
            <w:pPr>
              <w:contextualSpacing/>
              <w:jc w:val="center"/>
              <w:rPr>
                <w:rFonts w:cstheme="minorHAnsi"/>
                <w:sz w:val="16"/>
                <w:szCs w:val="16"/>
              </w:rPr>
            </w:pPr>
            <w:r w:rsidRPr="000C5524">
              <w:rPr>
                <w:rFonts w:cstheme="minorHAnsi"/>
                <w:sz w:val="16"/>
                <w:szCs w:val="16"/>
              </w:rPr>
              <w:t xml:space="preserve"> CMS Business School, </w:t>
            </w:r>
          </w:p>
          <w:p w:rsidR="007419B7" w:rsidRPr="000C5524" w:rsidRDefault="007419B7" w:rsidP="007419B7">
            <w:pPr>
              <w:contextualSpacing/>
              <w:jc w:val="center"/>
              <w:rPr>
                <w:rFonts w:cstheme="minorHAnsi"/>
                <w:sz w:val="16"/>
                <w:szCs w:val="16"/>
              </w:rPr>
            </w:pPr>
            <w:r w:rsidRPr="000C5524">
              <w:rPr>
                <w:rFonts w:cstheme="minorHAnsi"/>
                <w:sz w:val="16"/>
                <w:szCs w:val="16"/>
              </w:rPr>
              <w:t>JAIN (Deemed-to-be University) Bangalore, India</w:t>
            </w:r>
          </w:p>
        </w:tc>
        <w:tc>
          <w:tcPr>
            <w:tcW w:w="3826" w:type="dxa"/>
          </w:tcPr>
          <w:p w:rsidR="00EB1C29" w:rsidRPr="000C5524" w:rsidRDefault="00EB1C29" w:rsidP="00EB1C29">
            <w:pPr>
              <w:contextualSpacing/>
              <w:jc w:val="center"/>
              <w:outlineLvl w:val="0"/>
              <w:rPr>
                <w:rFonts w:eastAsia="Times New Roman" w:cstheme="minorHAnsi"/>
                <w:b/>
                <w:bCs/>
                <w:i/>
                <w:iCs/>
                <w:sz w:val="16"/>
                <w:szCs w:val="16"/>
                <w:lang w:eastAsia="en-IN"/>
              </w:rPr>
            </w:pPr>
            <w:r w:rsidRPr="000C5524">
              <w:rPr>
                <w:rFonts w:eastAsia="Times New Roman" w:cstheme="minorHAnsi"/>
                <w:b/>
                <w:bCs/>
                <w:i/>
                <w:iCs/>
                <w:sz w:val="16"/>
                <w:szCs w:val="16"/>
                <w:lang w:eastAsia="en-IN"/>
              </w:rPr>
              <w:t>Dr. Vinoth S</w:t>
            </w:r>
          </w:p>
          <w:p w:rsidR="007419B7" w:rsidRPr="000C5524" w:rsidRDefault="007419B7" w:rsidP="007419B7">
            <w:pPr>
              <w:contextualSpacing/>
              <w:jc w:val="center"/>
              <w:outlineLvl w:val="0"/>
              <w:rPr>
                <w:rFonts w:cstheme="minorHAnsi"/>
                <w:sz w:val="16"/>
                <w:szCs w:val="16"/>
              </w:rPr>
            </w:pPr>
            <w:r w:rsidRPr="000C5524">
              <w:rPr>
                <w:rFonts w:cstheme="minorHAnsi"/>
                <w:sz w:val="16"/>
                <w:szCs w:val="16"/>
              </w:rPr>
              <w:t xml:space="preserve">Professor, Faculty of Management Studies, </w:t>
            </w:r>
          </w:p>
          <w:p w:rsidR="007419B7" w:rsidRPr="000C5524" w:rsidRDefault="007419B7" w:rsidP="007419B7">
            <w:pPr>
              <w:contextualSpacing/>
              <w:jc w:val="center"/>
              <w:outlineLvl w:val="0"/>
              <w:rPr>
                <w:rFonts w:cstheme="minorHAnsi"/>
                <w:sz w:val="16"/>
                <w:szCs w:val="16"/>
              </w:rPr>
            </w:pPr>
            <w:r w:rsidRPr="000C5524">
              <w:rPr>
                <w:rFonts w:cstheme="minorHAnsi"/>
                <w:sz w:val="16"/>
                <w:szCs w:val="16"/>
              </w:rPr>
              <w:t xml:space="preserve">CMS Business School, </w:t>
            </w:r>
          </w:p>
          <w:p w:rsidR="007419B7" w:rsidRPr="000C5524" w:rsidRDefault="007419B7" w:rsidP="007419B7">
            <w:pPr>
              <w:contextualSpacing/>
              <w:jc w:val="center"/>
              <w:outlineLvl w:val="0"/>
              <w:rPr>
                <w:rFonts w:cstheme="minorHAnsi"/>
                <w:sz w:val="16"/>
                <w:szCs w:val="16"/>
              </w:rPr>
            </w:pPr>
            <w:r w:rsidRPr="000C5524">
              <w:rPr>
                <w:rFonts w:cstheme="minorHAnsi"/>
                <w:sz w:val="16"/>
                <w:szCs w:val="16"/>
              </w:rPr>
              <w:t xml:space="preserve">JAIN (Deemed-to-be University) Bangalore, India. </w:t>
            </w:r>
          </w:p>
        </w:tc>
      </w:tr>
    </w:tbl>
    <w:p w:rsidR="007419B7" w:rsidRPr="00EB6929" w:rsidRDefault="007419B7" w:rsidP="00C05C58">
      <w:pPr>
        <w:spacing w:after="0"/>
        <w:jc w:val="center"/>
        <w:rPr>
          <w:rFonts w:ascii="Arial" w:hAnsi="Arial" w:cs="Arial"/>
          <w:b/>
          <w:sz w:val="28"/>
        </w:rPr>
      </w:pPr>
    </w:p>
    <w:p w:rsidR="00EB6929" w:rsidRPr="000C5524" w:rsidRDefault="00EB6929" w:rsidP="000C5524">
      <w:pPr>
        <w:spacing w:after="120" w:line="240" w:lineRule="auto"/>
        <w:ind w:left="720" w:right="386"/>
        <w:jc w:val="center"/>
        <w:rPr>
          <w:rFonts w:ascii="Arial" w:hAnsi="Arial" w:cs="Arial"/>
          <w:b/>
          <w:i/>
          <w:iCs/>
          <w:sz w:val="18"/>
          <w:szCs w:val="18"/>
        </w:rPr>
      </w:pPr>
      <w:r w:rsidRPr="000C5524">
        <w:rPr>
          <w:rFonts w:ascii="Arial" w:hAnsi="Arial" w:cs="Arial"/>
          <w:b/>
          <w:i/>
          <w:iCs/>
          <w:sz w:val="18"/>
          <w:szCs w:val="18"/>
        </w:rPr>
        <w:t>Abstract</w:t>
      </w:r>
    </w:p>
    <w:p w:rsidR="00877B0F" w:rsidRPr="000C5524" w:rsidRDefault="00877B0F" w:rsidP="000C5524">
      <w:pPr>
        <w:spacing w:after="120" w:line="240" w:lineRule="auto"/>
        <w:ind w:left="720" w:right="386"/>
        <w:jc w:val="both"/>
        <w:rPr>
          <w:rFonts w:ascii="Arial" w:hAnsi="Arial" w:cs="Arial"/>
          <w:sz w:val="18"/>
          <w:szCs w:val="18"/>
        </w:rPr>
      </w:pPr>
      <w:r w:rsidRPr="000C5524">
        <w:rPr>
          <w:rFonts w:ascii="Arial" w:hAnsi="Arial" w:cs="Arial"/>
          <w:sz w:val="18"/>
          <w:szCs w:val="18"/>
        </w:rPr>
        <w:t xml:space="preserve">Emerging-market exporters face significant foreign exchange risks through unhedged foreign-currency receivables, which expose cash flows and profit margins to currency volatility, especially during Indian Rupee (INR) appreciation. This case describes a real-world advisory engagement at Growth Arrow LLP with a direct-to-consumer MSME exporter. The firm used a simple, phased hedging strategy: maintaining a 50% forward cover on exposures plus selective put/call options for large contracts, complemented by a live dashboard integrating exposure tracking and mark-to-market reporting. These tools combined with education and </w:t>
      </w:r>
      <w:proofErr w:type="spellStart"/>
      <w:r w:rsidRPr="000C5524">
        <w:rPr>
          <w:rFonts w:ascii="Arial" w:hAnsi="Arial" w:cs="Arial"/>
          <w:sz w:val="18"/>
          <w:szCs w:val="18"/>
        </w:rPr>
        <w:t>behavioral</w:t>
      </w:r>
      <w:proofErr w:type="spellEnd"/>
      <w:r w:rsidRPr="000C5524">
        <w:rPr>
          <w:rFonts w:ascii="Arial" w:hAnsi="Arial" w:cs="Arial"/>
          <w:sz w:val="18"/>
          <w:szCs w:val="18"/>
        </w:rPr>
        <w:t xml:space="preserve"> uplift helped bridge governance gaps, stabilize cash flows, and preserve upside potential. The solution aligns with Reserve Bank of India’s (RBI) risk management guidelines and regulatory compliance. The case explores export hedging challenges, the design of operational policy embedded in compliance frameworks, and lessons learned from </w:t>
      </w:r>
      <w:proofErr w:type="spellStart"/>
      <w:r w:rsidRPr="000C5524">
        <w:rPr>
          <w:rFonts w:ascii="Arial" w:hAnsi="Arial" w:cs="Arial"/>
          <w:sz w:val="18"/>
          <w:szCs w:val="18"/>
        </w:rPr>
        <w:t>behavioral</w:t>
      </w:r>
      <w:proofErr w:type="spellEnd"/>
      <w:r w:rsidRPr="000C5524">
        <w:rPr>
          <w:rFonts w:ascii="Arial" w:hAnsi="Arial" w:cs="Arial"/>
          <w:sz w:val="18"/>
          <w:szCs w:val="18"/>
        </w:rPr>
        <w:t xml:space="preserve"> adoption tactics like explainer content and contract libraries. This adaptive approach highlights balancing risk reduction with managerial bandwidth and client comfort, providing valuable insights for MSME exporters navigating FX risks.</w:t>
      </w:r>
    </w:p>
    <w:p w:rsidR="00877B0F" w:rsidRPr="000C5524" w:rsidRDefault="00877B0F" w:rsidP="000C5524">
      <w:pPr>
        <w:spacing w:after="120" w:line="240" w:lineRule="auto"/>
        <w:ind w:left="720" w:right="386"/>
        <w:jc w:val="both"/>
        <w:rPr>
          <w:rFonts w:ascii="Arial" w:hAnsi="Arial" w:cs="Arial"/>
          <w:sz w:val="18"/>
          <w:szCs w:val="18"/>
        </w:rPr>
      </w:pPr>
      <w:r w:rsidRPr="000C5524">
        <w:rPr>
          <w:rFonts w:ascii="Arial" w:hAnsi="Arial" w:cs="Arial"/>
          <w:b/>
          <w:bCs/>
          <w:sz w:val="18"/>
          <w:szCs w:val="18"/>
        </w:rPr>
        <w:t>Keywords:</w:t>
      </w:r>
      <w:r w:rsidRPr="000C5524">
        <w:rPr>
          <w:rFonts w:ascii="Arial" w:hAnsi="Arial" w:cs="Arial"/>
          <w:sz w:val="18"/>
          <w:szCs w:val="18"/>
        </w:rPr>
        <w:t xml:space="preserve"> MSME exports, currency risk, hedging strategy, forward contracts, options, RBI compliance, cash flow management</w:t>
      </w:r>
    </w:p>
    <w:p w:rsidR="000C5524" w:rsidRDefault="000C5524" w:rsidP="000C7255">
      <w:pPr>
        <w:jc w:val="center"/>
        <w:rPr>
          <w:rFonts w:ascii="Arial" w:hAnsi="Arial" w:cs="Arial"/>
          <w:sz w:val="18"/>
          <w:szCs w:val="18"/>
        </w:rPr>
        <w:sectPr w:rsidR="000C5524" w:rsidSect="000C5524">
          <w:headerReference w:type="even" r:id="rId8"/>
          <w:headerReference w:type="default" r:id="rId9"/>
          <w:type w:val="continuous"/>
          <w:pgSz w:w="11906" w:h="16838" w:code="9"/>
          <w:pgMar w:top="1440" w:right="1440" w:bottom="1440" w:left="1440" w:header="1008" w:footer="706" w:gutter="0"/>
          <w:pgNumType w:start="38"/>
          <w:cols w:space="708"/>
          <w:docGrid w:linePitch="360"/>
        </w:sectPr>
      </w:pPr>
    </w:p>
    <w:p w:rsidR="000C5524" w:rsidRPr="000C5524" w:rsidRDefault="000C5524" w:rsidP="000C5524">
      <w:pPr>
        <w:spacing w:after="120" w:line="276" w:lineRule="auto"/>
        <w:jc w:val="center"/>
        <w:rPr>
          <w:rFonts w:ascii="Arial" w:hAnsi="Arial" w:cs="Arial"/>
          <w:b/>
          <w:caps/>
          <w:sz w:val="14"/>
          <w:szCs w:val="14"/>
        </w:rPr>
      </w:pPr>
    </w:p>
    <w:p w:rsidR="000C7255" w:rsidRPr="000C5524" w:rsidRDefault="000C7255" w:rsidP="000C5524">
      <w:pPr>
        <w:spacing w:after="120" w:line="276" w:lineRule="auto"/>
        <w:jc w:val="center"/>
        <w:rPr>
          <w:rFonts w:ascii="Arial" w:hAnsi="Arial" w:cs="Arial"/>
          <w:b/>
          <w:caps/>
        </w:rPr>
      </w:pPr>
      <w:r w:rsidRPr="000C5524">
        <w:rPr>
          <w:rFonts w:ascii="Arial" w:hAnsi="Arial" w:cs="Arial"/>
          <w:b/>
          <w:caps/>
        </w:rPr>
        <w:t>Introduction</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 xml:space="preserve">Growth Arrow LLP’s MSME client is a fast-growing direct-to-consumer exporter billing primarily in USD and EUR. The firm’s early-stage strategy eschewed currency hedging, selecting instead to benefit from potentially </w:t>
      </w:r>
      <w:proofErr w:type="spellStart"/>
      <w:r w:rsidRPr="000C5524">
        <w:rPr>
          <w:rFonts w:ascii="Arial" w:eastAsia="Times New Roman" w:hAnsi="Arial" w:cs="Arial"/>
          <w:lang w:eastAsia="en-IN"/>
        </w:rPr>
        <w:t>favorable</w:t>
      </w:r>
      <w:proofErr w:type="spellEnd"/>
      <w:r w:rsidRPr="000C5524">
        <w:rPr>
          <w:rFonts w:ascii="Arial" w:eastAsia="Times New Roman" w:hAnsi="Arial" w:cs="Arial"/>
          <w:lang w:eastAsia="en-IN"/>
        </w:rPr>
        <w:t xml:space="preserve"> currency moves. When the Indian Rupee appreciated unexpectedly, the exporter experienced compressed revenue realizations despite stable sales volumes, exposing fragile revenue forecasting and risk governance.</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 xml:space="preserve">The advisory team diagnosed a governance gap wherein revenue planning operated largely independently of FX risk management. In collaboration with the client, Growth Arrow LLP deployed a phased hedging playbook: baseline exposure coverage via 50% forwards paired with outlier contract risk mitigation through options. Critically, this financial protection was embedded in an operational dashboard that translated unreconciled contracts into transparent cash flow </w:t>
      </w:r>
      <w:r w:rsidRPr="000C5524">
        <w:rPr>
          <w:rFonts w:ascii="Arial" w:eastAsia="Times New Roman" w:hAnsi="Arial" w:cs="Arial"/>
          <w:lang w:eastAsia="en-IN"/>
        </w:rPr>
        <w:t>projections for monthly management reviews.</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Educational interventions, including simplified explanation decks and contract libraries, addressed psychological and knowledge barriers among decision makers. Compliance was ensured by following RBI Master Directions on foreign exchange risk management, encompassing counterparty vetting, documentation standards, and reporting protocols.</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The challenge balanced protecting margins, retaining upside exposure, and minimizing operational complexity. This evolving hedging framework reinforced managerial confidence, stabilized cash flows, and institutionalized risk-awareness in decision processes.</w:t>
      </w:r>
    </w:p>
    <w:p w:rsidR="00877B0F" w:rsidRPr="000C5524" w:rsidRDefault="00877B0F" w:rsidP="000C5524">
      <w:pPr>
        <w:spacing w:after="120" w:line="276" w:lineRule="auto"/>
        <w:jc w:val="center"/>
        <w:outlineLvl w:val="1"/>
        <w:rPr>
          <w:rFonts w:ascii="Arial" w:eastAsia="Times New Roman" w:hAnsi="Arial" w:cs="Arial"/>
          <w:b/>
          <w:bCs/>
          <w:caps/>
          <w:lang w:eastAsia="en-IN"/>
        </w:rPr>
      </w:pPr>
      <w:r w:rsidRPr="000C5524">
        <w:rPr>
          <w:rFonts w:ascii="Arial" w:eastAsia="Times New Roman" w:hAnsi="Arial" w:cs="Arial"/>
          <w:b/>
          <w:bCs/>
          <w:caps/>
          <w:lang w:eastAsia="en-IN"/>
        </w:rPr>
        <w:t>About the Industry</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 xml:space="preserve">In the contemporary global trade ecosystem, exporters navigate an intricate confluence of trade finance mechanisms, volatile FX markets, and stringent central </w:t>
      </w:r>
      <w:r w:rsidRPr="000C5524">
        <w:rPr>
          <w:rFonts w:ascii="Arial" w:eastAsia="Times New Roman" w:hAnsi="Arial" w:cs="Arial"/>
          <w:lang w:eastAsia="en-IN"/>
        </w:rPr>
        <w:lastRenderedPageBreak/>
        <w:t>bank regulations. Empirical data consistently show that many emerging market economy exporters under-hedge exposures due to cost concerns, complexity perceptions, and cognitive biases like optimism.</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Market guidance from international bodies such as the Bank for International Settlements (BIS) emphasizes structured hedging mandates, policy clarity, and exposure quantification to balance risk reduction with economic efficiency. Simultaneously, central banks like the RBI promulgate master directions governing counterparty risk, permissible derivative instruments, and disclosure norms, fostering standardized hedging ecosystems.</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Derivatives education prioritizes complementing tenors to receivables, assessing option premiums relative to risk tolerance, and adapting strategies to nuanced market flows. These frameworks underpin a growing propensity for MSMEs and corporate exporters to adopt automated and disciplined hedging while avoiding complex or opaque financial structures.</w:t>
      </w:r>
    </w:p>
    <w:p w:rsidR="00877B0F" w:rsidRPr="000C5524" w:rsidRDefault="00877B0F" w:rsidP="000C5524">
      <w:pPr>
        <w:spacing w:after="120" w:line="276" w:lineRule="auto"/>
        <w:jc w:val="both"/>
        <w:outlineLvl w:val="1"/>
        <w:rPr>
          <w:rFonts w:ascii="Arial" w:eastAsia="Times New Roman" w:hAnsi="Arial" w:cs="Arial"/>
          <w:b/>
          <w:bCs/>
          <w:lang w:eastAsia="en-IN"/>
        </w:rPr>
      </w:pPr>
      <w:r w:rsidRPr="000C5524">
        <w:rPr>
          <w:rFonts w:ascii="Arial" w:eastAsia="Times New Roman" w:hAnsi="Arial" w:cs="Arial"/>
          <w:b/>
          <w:bCs/>
          <w:lang w:eastAsia="en-IN"/>
        </w:rPr>
        <w:t>Problems Faced by the Industry</w:t>
      </w:r>
    </w:p>
    <w:p w:rsidR="00877B0F" w:rsidRPr="000C5524" w:rsidRDefault="00877B0F" w:rsidP="000C5524">
      <w:pPr>
        <w:spacing w:after="120" w:line="276" w:lineRule="auto"/>
        <w:ind w:firstLine="360"/>
        <w:jc w:val="both"/>
        <w:rPr>
          <w:rFonts w:ascii="Arial" w:eastAsia="Times New Roman" w:hAnsi="Arial" w:cs="Arial"/>
          <w:lang w:eastAsia="en-IN"/>
        </w:rPr>
      </w:pPr>
      <w:r w:rsidRPr="000C5524">
        <w:rPr>
          <w:rFonts w:ascii="Arial" w:eastAsia="Times New Roman" w:hAnsi="Arial" w:cs="Arial"/>
          <w:lang w:eastAsia="en-IN"/>
        </w:rPr>
        <w:t>The export sector faces several systemic barriers inhibiting effective risk management:</w:t>
      </w:r>
    </w:p>
    <w:p w:rsidR="00877B0F" w:rsidRPr="000C5524" w:rsidRDefault="00877B0F" w:rsidP="000C5524">
      <w:pPr>
        <w:numPr>
          <w:ilvl w:val="0"/>
          <w:numId w:val="22"/>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Limited hedging awareness among MSMEs, leading to exposure underestimation.</w:t>
      </w:r>
    </w:p>
    <w:p w:rsidR="00877B0F" w:rsidRPr="000C5524" w:rsidRDefault="00877B0F" w:rsidP="000C5524">
      <w:pPr>
        <w:numPr>
          <w:ilvl w:val="0"/>
          <w:numId w:val="22"/>
        </w:numPr>
        <w:spacing w:after="120" w:line="276" w:lineRule="auto"/>
        <w:jc w:val="both"/>
        <w:rPr>
          <w:rFonts w:ascii="Arial" w:eastAsia="Times New Roman" w:hAnsi="Arial" w:cs="Arial"/>
          <w:lang w:eastAsia="en-IN"/>
        </w:rPr>
      </w:pPr>
      <w:proofErr w:type="spellStart"/>
      <w:r w:rsidRPr="000C5524">
        <w:rPr>
          <w:rFonts w:ascii="Arial" w:eastAsia="Times New Roman" w:hAnsi="Arial" w:cs="Arial"/>
          <w:lang w:eastAsia="en-IN"/>
        </w:rPr>
        <w:t>Behavioral</w:t>
      </w:r>
      <w:proofErr w:type="spellEnd"/>
      <w:r w:rsidRPr="000C5524">
        <w:rPr>
          <w:rFonts w:ascii="Arial" w:eastAsia="Times New Roman" w:hAnsi="Arial" w:cs="Arial"/>
          <w:lang w:eastAsia="en-IN"/>
        </w:rPr>
        <w:t xml:space="preserve"> friction from fear of missing </w:t>
      </w:r>
      <w:proofErr w:type="spellStart"/>
      <w:r w:rsidRPr="000C5524">
        <w:rPr>
          <w:rFonts w:ascii="Arial" w:eastAsia="Times New Roman" w:hAnsi="Arial" w:cs="Arial"/>
          <w:lang w:eastAsia="en-IN"/>
        </w:rPr>
        <w:t>favorable</w:t>
      </w:r>
      <w:proofErr w:type="spellEnd"/>
      <w:r w:rsidRPr="000C5524">
        <w:rPr>
          <w:rFonts w:ascii="Arial" w:eastAsia="Times New Roman" w:hAnsi="Arial" w:cs="Arial"/>
          <w:lang w:eastAsia="en-IN"/>
        </w:rPr>
        <w:t xml:space="preserve"> currency movements or derivative complexity.</w:t>
      </w:r>
    </w:p>
    <w:p w:rsidR="00877B0F" w:rsidRPr="000C5524" w:rsidRDefault="00877B0F" w:rsidP="000C5524">
      <w:pPr>
        <w:numPr>
          <w:ilvl w:val="0"/>
          <w:numId w:val="22"/>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Operational bandwidth constraints restricting hedging program scale.</w:t>
      </w:r>
    </w:p>
    <w:p w:rsidR="00877B0F" w:rsidRPr="000C5524" w:rsidRDefault="00877B0F" w:rsidP="000C5524">
      <w:pPr>
        <w:numPr>
          <w:ilvl w:val="0"/>
          <w:numId w:val="22"/>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Volatility in macroeconomic and regulatory environments, requiring dynamic risk frameworks.</w:t>
      </w:r>
    </w:p>
    <w:p w:rsidR="00877B0F" w:rsidRPr="000C5524" w:rsidRDefault="00877B0F" w:rsidP="000C5524">
      <w:pPr>
        <w:numPr>
          <w:ilvl w:val="0"/>
          <w:numId w:val="22"/>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Fragmented digital tooling and data visibility complicating exposure measurement and contract coverage verification.</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Research and supervisory guidance coalesce around advocating simplified policy frameworks, documentary governance, and structured education initiatives to overcome adoption inertia.</w:t>
      </w:r>
    </w:p>
    <w:p w:rsidR="00877B0F" w:rsidRPr="000C5524" w:rsidRDefault="00877B0F" w:rsidP="000C5524">
      <w:pPr>
        <w:spacing w:after="120" w:line="276" w:lineRule="auto"/>
        <w:jc w:val="center"/>
        <w:outlineLvl w:val="1"/>
        <w:rPr>
          <w:rFonts w:ascii="Arial" w:eastAsia="Times New Roman" w:hAnsi="Arial" w:cs="Arial"/>
          <w:b/>
          <w:bCs/>
          <w:caps/>
          <w:lang w:eastAsia="en-IN"/>
        </w:rPr>
      </w:pPr>
      <w:r w:rsidRPr="000C5524">
        <w:rPr>
          <w:rFonts w:ascii="Arial" w:eastAsia="Times New Roman" w:hAnsi="Arial" w:cs="Arial"/>
          <w:b/>
          <w:bCs/>
          <w:caps/>
          <w:lang w:eastAsia="en-IN"/>
        </w:rPr>
        <w:t>About the Company</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Growth Arrow LLP acts as a specialized advisory partner to MSME exporters, blending pragmatic education with implementation-driven financial risk management. Within its client portfolio, it engaged a D2C exporter characterized by rapid growth and escalating FX exposure risk.</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The firm implemented a phased policy blending forward contract baselines with options for outsized invoices, complemented by a lightweight yet robust Excel/API-based dashboard for exposure tracking, mark-to-market (MTM) valuations, and hedge coverage visualization. This combination enabled monthly portfolio reviews framed around risk manager-style client engagements.</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To mitigate trader and managerial resistance, Growth Arrow developed a suite of explainers, term-sheet libraries, renewal calendars, and governance artifacts aligned with RBI compliance, streamlining adoption and reinforcing institutional risk discipline.</w:t>
      </w:r>
    </w:p>
    <w:p w:rsidR="00877B0F" w:rsidRPr="000C5524" w:rsidRDefault="00877B0F" w:rsidP="000C5524">
      <w:pPr>
        <w:spacing w:after="120" w:line="276" w:lineRule="auto"/>
        <w:jc w:val="both"/>
        <w:outlineLvl w:val="1"/>
        <w:rPr>
          <w:rFonts w:ascii="Arial" w:eastAsia="Times New Roman" w:hAnsi="Arial" w:cs="Arial"/>
          <w:b/>
          <w:bCs/>
          <w:lang w:eastAsia="en-IN"/>
        </w:rPr>
      </w:pPr>
      <w:r w:rsidRPr="000C5524">
        <w:rPr>
          <w:rFonts w:ascii="Arial" w:eastAsia="Times New Roman" w:hAnsi="Arial" w:cs="Arial"/>
          <w:b/>
          <w:bCs/>
          <w:lang w:eastAsia="en-IN"/>
        </w:rPr>
        <w:t>Problems Faced by the Company</w:t>
      </w:r>
    </w:p>
    <w:p w:rsidR="00877B0F" w:rsidRPr="000C5524" w:rsidRDefault="00877B0F" w:rsidP="000C5524">
      <w:pPr>
        <w:spacing w:after="120" w:line="276" w:lineRule="auto"/>
        <w:ind w:firstLine="360"/>
        <w:jc w:val="both"/>
        <w:rPr>
          <w:rFonts w:ascii="Arial" w:eastAsia="Times New Roman" w:hAnsi="Arial" w:cs="Arial"/>
          <w:lang w:eastAsia="en-IN"/>
        </w:rPr>
      </w:pPr>
      <w:r w:rsidRPr="000C5524">
        <w:rPr>
          <w:rFonts w:ascii="Arial" w:eastAsia="Times New Roman" w:hAnsi="Arial" w:cs="Arial"/>
          <w:lang w:eastAsia="en-IN"/>
        </w:rPr>
        <w:t>The client faced internal challenges including:</w:t>
      </w:r>
    </w:p>
    <w:p w:rsidR="00877B0F" w:rsidRPr="000C5524" w:rsidRDefault="00877B0F" w:rsidP="000C5524">
      <w:pPr>
        <w:numPr>
          <w:ilvl w:val="0"/>
          <w:numId w:val="23"/>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Resistance to forward contracts and option use rooted in misconceptions about complexity and fees.</w:t>
      </w:r>
    </w:p>
    <w:p w:rsidR="00877B0F" w:rsidRPr="000C5524" w:rsidRDefault="00877B0F" w:rsidP="000C5524">
      <w:pPr>
        <w:numPr>
          <w:ilvl w:val="0"/>
          <w:numId w:val="23"/>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lastRenderedPageBreak/>
        <w:t>Absence of systematic exposure measurement and reporting, leading to ad-hoc decision-making.</w:t>
      </w:r>
    </w:p>
    <w:p w:rsidR="00877B0F" w:rsidRPr="000C5524" w:rsidRDefault="00877B0F" w:rsidP="000C5524">
      <w:pPr>
        <w:numPr>
          <w:ilvl w:val="0"/>
          <w:numId w:val="23"/>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Margin erosion from rapid INR appreciation without protective hedging.</w:t>
      </w:r>
    </w:p>
    <w:p w:rsidR="00877B0F" w:rsidRPr="000C5524" w:rsidRDefault="00877B0F" w:rsidP="000C5524">
      <w:pPr>
        <w:numPr>
          <w:ilvl w:val="0"/>
          <w:numId w:val="23"/>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Forecasting credibility and client confidence erosion due to unpredictable cash flows.</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Growth Arrow introduced a disciplined phased coverage approach that addressed these pain points while applying rigorous compliance controls on counterparty vetting, documentation, and portfolio limits, consistent with RBI guidance.</w:t>
      </w:r>
    </w:p>
    <w:p w:rsidR="00877B0F" w:rsidRPr="000C5524" w:rsidRDefault="00877B0F" w:rsidP="000C5524">
      <w:pPr>
        <w:spacing w:after="120" w:line="276" w:lineRule="auto"/>
        <w:jc w:val="both"/>
        <w:outlineLvl w:val="1"/>
        <w:rPr>
          <w:rFonts w:ascii="Arial" w:eastAsia="Times New Roman" w:hAnsi="Arial" w:cs="Arial"/>
          <w:b/>
          <w:bCs/>
          <w:lang w:eastAsia="en-IN"/>
        </w:rPr>
      </w:pPr>
      <w:r w:rsidRPr="000C5524">
        <w:rPr>
          <w:rFonts w:ascii="Arial" w:eastAsia="Times New Roman" w:hAnsi="Arial" w:cs="Arial"/>
          <w:b/>
          <w:bCs/>
          <w:lang w:eastAsia="en-IN"/>
        </w:rPr>
        <w:t>Academic Learning</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Students engage with real-world complexities balancing financial risk management with operational practicality. They:</w:t>
      </w:r>
    </w:p>
    <w:p w:rsidR="00877B0F" w:rsidRPr="000C5524" w:rsidRDefault="00877B0F" w:rsidP="000C5524">
      <w:pPr>
        <w:numPr>
          <w:ilvl w:val="0"/>
          <w:numId w:val="24"/>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Develop exposure measurement frameworks tied to export invoicing and receivables.</w:t>
      </w:r>
    </w:p>
    <w:p w:rsidR="00877B0F" w:rsidRPr="000C5524" w:rsidRDefault="00877B0F" w:rsidP="000C5524">
      <w:pPr>
        <w:numPr>
          <w:ilvl w:val="0"/>
          <w:numId w:val="24"/>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Design phased hedging policies combining forwards and options matched to transaction profiles.</w:t>
      </w:r>
    </w:p>
    <w:p w:rsidR="00877B0F" w:rsidRPr="000C5524" w:rsidRDefault="00877B0F" w:rsidP="000C5524">
      <w:pPr>
        <w:numPr>
          <w:ilvl w:val="0"/>
          <w:numId w:val="24"/>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 xml:space="preserve">Build </w:t>
      </w:r>
      <w:proofErr w:type="spellStart"/>
      <w:r w:rsidRPr="000C5524">
        <w:rPr>
          <w:rFonts w:ascii="Arial" w:eastAsia="Times New Roman" w:hAnsi="Arial" w:cs="Arial"/>
          <w:lang w:eastAsia="en-IN"/>
        </w:rPr>
        <w:t>behavioral</w:t>
      </w:r>
      <w:proofErr w:type="spellEnd"/>
      <w:r w:rsidRPr="000C5524">
        <w:rPr>
          <w:rFonts w:ascii="Arial" w:eastAsia="Times New Roman" w:hAnsi="Arial" w:cs="Arial"/>
          <w:lang w:eastAsia="en-IN"/>
        </w:rPr>
        <w:t xml:space="preserve"> adoption strategies integrating educational content and governance artifacts to tackle resistance.</w:t>
      </w:r>
    </w:p>
    <w:p w:rsidR="00877B0F" w:rsidRPr="000C5524" w:rsidRDefault="00877B0F" w:rsidP="000C5524">
      <w:pPr>
        <w:numPr>
          <w:ilvl w:val="0"/>
          <w:numId w:val="24"/>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Construct operational dashboards visualizing exposures, MTM positions, and hedge effectiveness.</w:t>
      </w:r>
    </w:p>
    <w:p w:rsidR="00877B0F" w:rsidRPr="000C5524" w:rsidRDefault="00877B0F" w:rsidP="000C5524">
      <w:pPr>
        <w:numPr>
          <w:ilvl w:val="0"/>
          <w:numId w:val="24"/>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Align policy and controls with RBI regulatory frameworks ensuring compliance and auditability.</w:t>
      </w:r>
    </w:p>
    <w:p w:rsidR="00877B0F"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These exercises ground theoretical finance concepts into tangible, scalable MSME advisory solutions.</w:t>
      </w:r>
    </w:p>
    <w:p w:rsidR="000C5524" w:rsidRDefault="000C5524" w:rsidP="000C5524">
      <w:pPr>
        <w:spacing w:after="120" w:line="276" w:lineRule="auto"/>
        <w:ind w:firstLine="720"/>
        <w:jc w:val="both"/>
        <w:rPr>
          <w:rFonts w:ascii="Arial" w:eastAsia="Times New Roman" w:hAnsi="Arial" w:cs="Arial"/>
          <w:lang w:eastAsia="en-IN"/>
        </w:rPr>
      </w:pPr>
    </w:p>
    <w:p w:rsidR="000C5524" w:rsidRPr="000C5524" w:rsidRDefault="000C5524" w:rsidP="000C5524">
      <w:pPr>
        <w:spacing w:after="120" w:line="276" w:lineRule="auto"/>
        <w:ind w:firstLine="720"/>
        <w:jc w:val="both"/>
        <w:rPr>
          <w:rFonts w:ascii="Arial" w:eastAsia="Times New Roman" w:hAnsi="Arial" w:cs="Arial"/>
          <w:lang w:eastAsia="en-IN"/>
        </w:rPr>
      </w:pPr>
    </w:p>
    <w:p w:rsidR="00877B0F" w:rsidRPr="000C5524" w:rsidRDefault="00877B0F" w:rsidP="000C5524">
      <w:pPr>
        <w:spacing w:after="120" w:line="276" w:lineRule="auto"/>
        <w:jc w:val="center"/>
        <w:outlineLvl w:val="1"/>
        <w:rPr>
          <w:rFonts w:ascii="Arial" w:eastAsia="Times New Roman" w:hAnsi="Arial" w:cs="Arial"/>
          <w:b/>
          <w:bCs/>
          <w:caps/>
          <w:lang w:eastAsia="en-IN"/>
        </w:rPr>
      </w:pPr>
      <w:r w:rsidRPr="000C5524">
        <w:rPr>
          <w:rFonts w:ascii="Arial" w:eastAsia="Times New Roman" w:hAnsi="Arial" w:cs="Arial"/>
          <w:b/>
          <w:bCs/>
          <w:caps/>
          <w:lang w:eastAsia="en-IN"/>
        </w:rPr>
        <w:t>Conclusion</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 xml:space="preserve">This case underscores hedging as a cornerstone of governance stabilizing foreign exchange risks for MSME exporters. Growth Arrow LLP’s phased playbook demonstrates that intelligent, simple coverage augmented with </w:t>
      </w:r>
      <w:proofErr w:type="spellStart"/>
      <w:r w:rsidRPr="000C5524">
        <w:rPr>
          <w:rFonts w:ascii="Arial" w:eastAsia="Times New Roman" w:hAnsi="Arial" w:cs="Arial"/>
          <w:lang w:eastAsia="en-IN"/>
        </w:rPr>
        <w:t>behavioral</w:t>
      </w:r>
      <w:proofErr w:type="spellEnd"/>
      <w:r w:rsidRPr="000C5524">
        <w:rPr>
          <w:rFonts w:ascii="Arial" w:eastAsia="Times New Roman" w:hAnsi="Arial" w:cs="Arial"/>
          <w:lang w:eastAsia="en-IN"/>
        </w:rPr>
        <w:t xml:space="preserve"> nudges can substantially reduce earnings volatility and improve planning confidence without overwhelming operational capacity. Strict adherence to RBI master directions preserves compliance and institutional trust.</w:t>
      </w:r>
    </w:p>
    <w:p w:rsidR="00877B0F" w:rsidRPr="000C5524" w:rsidRDefault="00877B0F" w:rsidP="000C5524">
      <w:pPr>
        <w:spacing w:after="120" w:line="276" w:lineRule="auto"/>
        <w:ind w:firstLine="720"/>
        <w:jc w:val="both"/>
        <w:rPr>
          <w:rFonts w:ascii="Arial" w:eastAsia="Times New Roman" w:hAnsi="Arial" w:cs="Arial"/>
          <w:lang w:eastAsia="en-IN"/>
        </w:rPr>
      </w:pPr>
      <w:r w:rsidRPr="000C5524">
        <w:rPr>
          <w:rFonts w:ascii="Arial" w:eastAsia="Times New Roman" w:hAnsi="Arial" w:cs="Arial"/>
          <w:lang w:eastAsia="en-IN"/>
        </w:rPr>
        <w:t>The model offers a blueprint for emerging exporters seeking to manage currency risks pragmatically while preserving growth upside in volatile markets.</w:t>
      </w:r>
    </w:p>
    <w:p w:rsidR="00877B0F" w:rsidRPr="000C5524" w:rsidRDefault="00877B0F" w:rsidP="000C5524">
      <w:pPr>
        <w:spacing w:after="120" w:line="276" w:lineRule="auto"/>
        <w:jc w:val="center"/>
        <w:outlineLvl w:val="1"/>
        <w:rPr>
          <w:rFonts w:ascii="Arial" w:eastAsia="Times New Roman" w:hAnsi="Arial" w:cs="Arial"/>
          <w:b/>
          <w:bCs/>
          <w:caps/>
          <w:lang w:eastAsia="en-IN"/>
        </w:rPr>
      </w:pPr>
      <w:r w:rsidRPr="000C5524">
        <w:rPr>
          <w:rFonts w:ascii="Arial" w:eastAsia="Times New Roman" w:hAnsi="Arial" w:cs="Arial"/>
          <w:b/>
          <w:bCs/>
          <w:caps/>
          <w:lang w:eastAsia="en-IN"/>
        </w:rPr>
        <w:t>Case Questions</w:t>
      </w:r>
    </w:p>
    <w:p w:rsidR="00877B0F" w:rsidRPr="000C5524" w:rsidRDefault="00877B0F" w:rsidP="000C5524">
      <w:pPr>
        <w:numPr>
          <w:ilvl w:val="0"/>
          <w:numId w:val="25"/>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Draft a board-approved hedging policy: define scope, instrument selection, exposure limits, tenor matching, and documentation standards.</w:t>
      </w:r>
    </w:p>
    <w:p w:rsidR="00877B0F" w:rsidRPr="000C5524" w:rsidRDefault="00877B0F" w:rsidP="000C5524">
      <w:pPr>
        <w:numPr>
          <w:ilvl w:val="0"/>
          <w:numId w:val="25"/>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Design an exposure dashboard: specify data inputs, MTM computations, alert thresholds, and review frequency.</w:t>
      </w:r>
    </w:p>
    <w:p w:rsidR="00877B0F" w:rsidRPr="000C5524" w:rsidRDefault="00877B0F" w:rsidP="000C5524">
      <w:pPr>
        <w:numPr>
          <w:ilvl w:val="0"/>
          <w:numId w:val="25"/>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Compare strategies: forward only, options-augmented, and unhedged in terms of costs, risk mitigation, ease of adoption, and variance reduction.</w:t>
      </w:r>
    </w:p>
    <w:p w:rsidR="00877B0F" w:rsidRPr="000C5524" w:rsidRDefault="00877B0F" w:rsidP="000C5524">
      <w:pPr>
        <w:numPr>
          <w:ilvl w:val="0"/>
          <w:numId w:val="25"/>
        </w:numPr>
        <w:spacing w:after="120" w:line="276" w:lineRule="auto"/>
        <w:jc w:val="both"/>
        <w:rPr>
          <w:rFonts w:ascii="Arial" w:eastAsia="Times New Roman" w:hAnsi="Arial" w:cs="Arial"/>
          <w:lang w:eastAsia="en-IN"/>
        </w:rPr>
      </w:pPr>
      <w:r w:rsidRPr="000C5524">
        <w:rPr>
          <w:rFonts w:ascii="Arial" w:eastAsia="Times New Roman" w:hAnsi="Arial" w:cs="Arial"/>
          <w:lang w:eastAsia="en-IN"/>
        </w:rPr>
        <w:t>Outline RBI-aligned counterparty onboarding and documentation workflows, ensuring regulatory transparency and audit readiness.</w:t>
      </w:r>
    </w:p>
    <w:p w:rsidR="00877B0F" w:rsidRPr="000C5524" w:rsidRDefault="00877B0F" w:rsidP="000C5524">
      <w:pPr>
        <w:spacing w:after="120" w:line="276" w:lineRule="auto"/>
        <w:jc w:val="center"/>
        <w:outlineLvl w:val="1"/>
        <w:rPr>
          <w:rFonts w:ascii="Arial" w:eastAsia="Times New Roman" w:hAnsi="Arial" w:cs="Arial"/>
          <w:b/>
          <w:bCs/>
          <w:caps/>
          <w:lang w:eastAsia="en-IN"/>
        </w:rPr>
      </w:pPr>
      <w:r w:rsidRPr="000C5524">
        <w:rPr>
          <w:rFonts w:ascii="Arial" w:eastAsia="Times New Roman" w:hAnsi="Arial" w:cs="Arial"/>
          <w:b/>
          <w:bCs/>
          <w:caps/>
          <w:lang w:eastAsia="en-IN"/>
        </w:rPr>
        <w:t>References</w:t>
      </w:r>
    </w:p>
    <w:p w:rsidR="00877B0F" w:rsidRPr="000C5524" w:rsidRDefault="00877B0F" w:rsidP="000C5524">
      <w:pPr>
        <w:spacing w:after="120" w:line="276" w:lineRule="auto"/>
        <w:ind w:left="720" w:hanging="720"/>
        <w:jc w:val="both"/>
        <w:rPr>
          <w:rFonts w:ascii="Arial" w:eastAsia="Times New Roman" w:hAnsi="Arial" w:cs="Arial"/>
          <w:lang w:eastAsia="en-IN"/>
        </w:rPr>
      </w:pPr>
      <w:r w:rsidRPr="000C5524">
        <w:rPr>
          <w:rFonts w:ascii="Arial" w:eastAsia="Times New Roman" w:hAnsi="Arial" w:cs="Arial"/>
          <w:lang w:eastAsia="en-IN"/>
        </w:rPr>
        <w:t>Reserve Bank of India. (2024). Master Direction—Risk Management and Inter-Bank Dealings (Foreign Exchange).</w:t>
      </w:r>
    </w:p>
    <w:p w:rsidR="00877B0F" w:rsidRPr="000C5524" w:rsidRDefault="00877B0F" w:rsidP="000C5524">
      <w:pPr>
        <w:spacing w:after="120" w:line="276" w:lineRule="auto"/>
        <w:ind w:left="720" w:hanging="720"/>
        <w:jc w:val="both"/>
        <w:rPr>
          <w:rFonts w:ascii="Arial" w:eastAsia="Times New Roman" w:hAnsi="Arial" w:cs="Arial"/>
          <w:lang w:eastAsia="en-IN"/>
        </w:rPr>
      </w:pPr>
      <w:r w:rsidRPr="000C5524">
        <w:rPr>
          <w:rFonts w:ascii="Arial" w:eastAsia="Times New Roman" w:hAnsi="Arial" w:cs="Arial"/>
          <w:lang w:eastAsia="en-IN"/>
        </w:rPr>
        <w:lastRenderedPageBreak/>
        <w:t>Bank for International Settlements. (2022). FX hedging and risk management practices in emerging market economies.</w:t>
      </w:r>
    </w:p>
    <w:p w:rsidR="00877B0F" w:rsidRPr="000C5524" w:rsidRDefault="00877B0F" w:rsidP="000C5524">
      <w:pPr>
        <w:spacing w:after="120" w:line="276" w:lineRule="auto"/>
        <w:ind w:left="720" w:hanging="720"/>
        <w:jc w:val="both"/>
        <w:rPr>
          <w:rFonts w:ascii="Arial" w:eastAsia="Times New Roman" w:hAnsi="Arial" w:cs="Arial"/>
          <w:lang w:eastAsia="en-IN"/>
        </w:rPr>
      </w:pPr>
      <w:r w:rsidRPr="000C5524">
        <w:rPr>
          <w:rFonts w:ascii="Arial" w:eastAsia="Times New Roman" w:hAnsi="Arial" w:cs="Arial"/>
          <w:lang w:eastAsia="en-IN"/>
        </w:rPr>
        <w:t>Hull, J. C. (2021). Options, futures, and other derivatives (11th ed.). Pearson.</w:t>
      </w:r>
    </w:p>
    <w:p w:rsidR="00877B0F" w:rsidRPr="000C5524" w:rsidRDefault="00877B0F" w:rsidP="000C5524">
      <w:pPr>
        <w:spacing w:after="120" w:line="276" w:lineRule="auto"/>
        <w:ind w:left="720" w:hanging="720"/>
        <w:jc w:val="both"/>
        <w:rPr>
          <w:rFonts w:ascii="Arial" w:eastAsia="Times New Roman" w:hAnsi="Arial" w:cs="Arial"/>
          <w:lang w:eastAsia="en-IN"/>
        </w:rPr>
      </w:pPr>
      <w:r w:rsidRPr="000C5524">
        <w:rPr>
          <w:rFonts w:ascii="Arial" w:eastAsia="Times New Roman" w:hAnsi="Arial" w:cs="Arial"/>
          <w:lang w:eastAsia="en-IN"/>
        </w:rPr>
        <w:t>Vihasini, A. (2025). Currency vs confidence: Helping a growing exporter navigate forex risk (Unpublished internship case study).</w:t>
      </w:r>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0" w:history="1">
        <w:r w:rsidRPr="000C5524">
          <w:rPr>
            <w:rFonts w:ascii="Arial" w:eastAsia="Times New Roman" w:hAnsi="Arial" w:cs="Arial"/>
            <w:color w:val="0000FF"/>
            <w:u w:val="single"/>
            <w:lang w:eastAsia="en-IN"/>
          </w:rPr>
          <w:t>https://woxsen.edu.in/adobe-2024/assets/images/adobe24-abstracttemplate_v4.pdf</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1" w:history="1">
        <w:r w:rsidRPr="000C5524">
          <w:rPr>
            <w:rFonts w:ascii="Arial" w:eastAsia="Times New Roman" w:hAnsi="Arial" w:cs="Arial"/>
            <w:color w:val="0000FF"/>
            <w:u w:val="single"/>
            <w:lang w:eastAsia="en-IN"/>
          </w:rPr>
          <w:t>https://www.devpath.com/blog/one-pager-six-pager</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2" w:history="1">
        <w:r w:rsidRPr="000C5524">
          <w:rPr>
            <w:rFonts w:ascii="Arial" w:eastAsia="Times New Roman" w:hAnsi="Arial" w:cs="Arial"/>
            <w:color w:val="0000FF"/>
            <w:u w:val="single"/>
            <w:lang w:eastAsia="en-IN"/>
          </w:rPr>
          <w:t>https://www.ivi.int/who-we-are/leadership/ravi-ganapathy/</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3" w:history="1">
        <w:r w:rsidRPr="000C5524">
          <w:rPr>
            <w:rFonts w:ascii="Arial" w:eastAsia="Times New Roman" w:hAnsi="Arial" w:cs="Arial"/>
            <w:color w:val="0000FF"/>
            <w:u w:val="single"/>
            <w:lang w:eastAsia="en-IN"/>
          </w:rPr>
          <w:t>https://www.extendmed.com/news-and-resources/kol-management</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4" w:history="1">
        <w:r w:rsidRPr="000C5524">
          <w:rPr>
            <w:rFonts w:ascii="Arial" w:eastAsia="Times New Roman" w:hAnsi="Arial" w:cs="Arial"/>
            <w:color w:val="0000FF"/>
            <w:u w:val="single"/>
            <w:lang w:eastAsia="en-IN"/>
          </w:rPr>
          <w:t>https://visme.co/blog/amazon-6-pager/</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5" w:history="1">
        <w:r w:rsidRPr="000C5524">
          <w:rPr>
            <w:rFonts w:ascii="Arial" w:eastAsia="Times New Roman" w:hAnsi="Arial" w:cs="Arial"/>
            <w:color w:val="0000FF"/>
            <w:u w:val="single"/>
            <w:lang w:eastAsia="en-IN"/>
          </w:rPr>
          <w:t>https://www.emeraldgrouppublishing.com/journal/tcj</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6" w:history="1">
        <w:r w:rsidRPr="000C5524">
          <w:rPr>
            <w:rFonts w:ascii="Arial" w:eastAsia="Times New Roman" w:hAnsi="Arial" w:cs="Arial"/>
            <w:color w:val="0000FF"/>
            <w:u w:val="single"/>
            <w:lang w:eastAsia="en-IN"/>
          </w:rPr>
          <w:t>https://www.isscr.org/guidelines</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7" w:history="1">
        <w:r w:rsidRPr="000C5524">
          <w:rPr>
            <w:rFonts w:ascii="Arial" w:eastAsia="Times New Roman" w:hAnsi="Arial" w:cs="Arial"/>
            <w:color w:val="0000FF"/>
            <w:u w:val="single"/>
            <w:lang w:eastAsia="en-IN"/>
          </w:rPr>
          <w:t>https://cseweb.ucsd.edu/~ravir/</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8" w:history="1">
        <w:r w:rsidRPr="000C5524">
          <w:rPr>
            <w:rFonts w:ascii="Arial" w:eastAsia="Times New Roman" w:hAnsi="Arial" w:cs="Arial"/>
            <w:color w:val="0000FF"/>
            <w:u w:val="single"/>
            <w:lang w:eastAsia="en-IN"/>
          </w:rPr>
          <w:t>https://profiles.stanford.edu/ravindra-majeti</w:t>
        </w:r>
      </w:hyperlink>
    </w:p>
    <w:p w:rsidR="00877B0F" w:rsidRPr="000C5524" w:rsidRDefault="00877B0F" w:rsidP="000C5524">
      <w:pPr>
        <w:spacing w:after="120" w:line="276" w:lineRule="auto"/>
        <w:ind w:left="720" w:hanging="720"/>
        <w:jc w:val="both"/>
        <w:rPr>
          <w:rFonts w:ascii="Arial" w:eastAsia="Times New Roman" w:hAnsi="Arial" w:cs="Arial"/>
          <w:lang w:eastAsia="en-IN"/>
        </w:rPr>
      </w:pPr>
      <w:hyperlink r:id="rId19" w:history="1">
        <w:r w:rsidRPr="000C5524">
          <w:rPr>
            <w:rFonts w:ascii="Arial" w:eastAsia="Times New Roman" w:hAnsi="Arial" w:cs="Arial"/>
            <w:color w:val="0000FF"/>
            <w:u w:val="single"/>
            <w:lang w:eastAsia="en-IN"/>
          </w:rPr>
          <w:t>https://www.infosys.com/engineering-services/white-papers/documents/roadmap-definition-aerospace-manufacturing.pdf</w:t>
        </w:r>
      </w:hyperlink>
    </w:p>
    <w:p w:rsidR="00877B0F" w:rsidRPr="000C5524" w:rsidRDefault="00877B0F" w:rsidP="000C5524">
      <w:pPr>
        <w:spacing w:after="120" w:line="276" w:lineRule="auto"/>
        <w:ind w:left="426"/>
        <w:jc w:val="both"/>
        <w:rPr>
          <w:rFonts w:ascii="Arial" w:hAnsi="Arial" w:cs="Arial"/>
        </w:rPr>
      </w:pPr>
    </w:p>
    <w:p w:rsidR="00C05C58" w:rsidRPr="000C5524" w:rsidRDefault="000C5524" w:rsidP="000C5524">
      <w:pPr>
        <w:spacing w:after="120" w:line="276" w:lineRule="auto"/>
        <w:ind w:left="426"/>
        <w:jc w:val="both"/>
        <w:rPr>
          <w:rFonts w:ascii="Arial" w:hAnsi="Arial" w:cs="Arial"/>
        </w:rPr>
      </w:pPr>
      <w:r w:rsidRPr="000C5524">
        <w:rPr>
          <w:rFonts w:ascii="Arial" w:hAnsi="Arial" w:cs="Arial"/>
        </w:rPr>
        <w:t xml:space="preserve"> </w:t>
      </w:r>
    </w:p>
    <w:sectPr w:rsidR="00C05C58" w:rsidRPr="000C5524" w:rsidSect="000C5524">
      <w:headerReference w:type="even" r:id="rId20"/>
      <w:headerReference w:type="default" r:id="rId21"/>
      <w:type w:val="continuous"/>
      <w:pgSz w:w="11906" w:h="16838" w:code="9"/>
      <w:pgMar w:top="1440" w:right="1440" w:bottom="1440" w:left="1440" w:header="1008" w:footer="706" w:gutter="0"/>
      <w:pgNumType w:start="38"/>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E0F" w:rsidRDefault="00F01E0F" w:rsidP="007419B7">
      <w:pPr>
        <w:spacing w:after="0" w:line="240" w:lineRule="auto"/>
      </w:pPr>
      <w:r>
        <w:separator/>
      </w:r>
    </w:p>
  </w:endnote>
  <w:endnote w:type="continuationSeparator" w:id="0">
    <w:p w:rsidR="00F01E0F" w:rsidRDefault="00F01E0F"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E0F" w:rsidRDefault="00F01E0F" w:rsidP="007419B7">
      <w:pPr>
        <w:spacing w:after="0" w:line="240" w:lineRule="auto"/>
      </w:pPr>
      <w:r>
        <w:separator/>
      </w:r>
    </w:p>
  </w:footnote>
  <w:footnote w:type="continuationSeparator" w:id="0">
    <w:p w:rsidR="00F01E0F" w:rsidRDefault="00F01E0F"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24" w:rsidRPr="005D0032" w:rsidRDefault="000C5524" w:rsidP="000C5524">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Vihasini A, Dr. Vinoth S</w:t>
    </w:r>
    <w:r w:rsidRPr="00442A99">
      <w:rPr>
        <w:rFonts w:ascii="Arial" w:hAnsi="Arial" w:cs="Arial"/>
        <w:i/>
        <w:iCs/>
        <w:sz w:val="16"/>
        <w:szCs w:val="16"/>
      </w:rPr>
      <w:tab/>
    </w:r>
    <w:r w:rsidRPr="004F4719">
      <w:rPr>
        <w:rFonts w:ascii="Arial" w:hAnsi="Arial" w:cs="Arial"/>
        <w:sz w:val="16"/>
        <w:szCs w:val="16"/>
      </w:rPr>
      <w:fldChar w:fldCharType="begin"/>
    </w:r>
    <w:r w:rsidRPr="004F4719">
      <w:rPr>
        <w:rFonts w:ascii="Arial" w:hAnsi="Arial" w:cs="Arial"/>
        <w:sz w:val="16"/>
        <w:szCs w:val="16"/>
      </w:rPr>
      <w:instrText xml:space="preserve"> PAGE   \* MERGEFORMAT </w:instrText>
    </w:r>
    <w:r w:rsidRPr="004F4719">
      <w:rPr>
        <w:rFonts w:ascii="Arial" w:hAnsi="Arial" w:cs="Arial"/>
        <w:sz w:val="16"/>
        <w:szCs w:val="16"/>
      </w:rPr>
      <w:fldChar w:fldCharType="separate"/>
    </w:r>
    <w:r>
      <w:rPr>
        <w:rFonts w:ascii="Arial" w:hAnsi="Arial" w:cs="Arial"/>
        <w:sz w:val="16"/>
        <w:szCs w:val="16"/>
      </w:rPr>
      <w:t>39</w:t>
    </w:r>
    <w:r w:rsidRPr="004F4719">
      <w:rPr>
        <w:rFonts w:ascii="Arial" w:hAnsi="Arial" w:cs="Arial"/>
        <w:noProof/>
        <w:sz w:val="16"/>
        <w:szCs w:val="16"/>
      </w:rPr>
      <w:fldChar w:fldCharType="end"/>
    </w:r>
  </w:p>
  <w:p w:rsidR="000C5524" w:rsidRDefault="000C5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24" w:rsidRPr="00F8020C" w:rsidRDefault="000C5524" w:rsidP="000C552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36</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p w:rsidR="000C5524" w:rsidRDefault="000C55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CB" w:rsidRPr="005D0032" w:rsidRDefault="00A86CCB" w:rsidP="000C5524">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Vihasini A, Dr. Vinoth S</w:t>
    </w:r>
    <w:r w:rsidRPr="00442A99">
      <w:rPr>
        <w:rFonts w:ascii="Arial" w:hAnsi="Arial" w:cs="Arial"/>
        <w:i/>
        <w:iCs/>
        <w:sz w:val="16"/>
        <w:szCs w:val="16"/>
      </w:rPr>
      <w:tab/>
    </w:r>
    <w:r w:rsidRPr="004F4719">
      <w:rPr>
        <w:rFonts w:ascii="Arial" w:hAnsi="Arial" w:cs="Arial"/>
        <w:sz w:val="16"/>
        <w:szCs w:val="16"/>
      </w:rPr>
      <w:fldChar w:fldCharType="begin"/>
    </w:r>
    <w:r w:rsidRPr="004F4719">
      <w:rPr>
        <w:rFonts w:ascii="Arial" w:hAnsi="Arial" w:cs="Arial"/>
        <w:sz w:val="16"/>
        <w:szCs w:val="16"/>
      </w:rPr>
      <w:instrText xml:space="preserve"> PAGE   \* MERGEFORMAT </w:instrText>
    </w:r>
    <w:r w:rsidRPr="004F4719">
      <w:rPr>
        <w:rFonts w:ascii="Arial" w:hAnsi="Arial" w:cs="Arial"/>
        <w:sz w:val="16"/>
        <w:szCs w:val="16"/>
      </w:rPr>
      <w:fldChar w:fldCharType="separate"/>
    </w:r>
    <w:r>
      <w:rPr>
        <w:rFonts w:ascii="Arial" w:hAnsi="Arial" w:cs="Arial"/>
        <w:sz w:val="16"/>
        <w:szCs w:val="16"/>
      </w:rPr>
      <w:t>39</w:t>
    </w:r>
    <w:r w:rsidRPr="004F4719">
      <w:rPr>
        <w:rFonts w:ascii="Arial" w:hAnsi="Arial" w:cs="Arial"/>
        <w:noProof/>
        <w:sz w:val="16"/>
        <w:szCs w:val="16"/>
      </w:rPr>
      <w:fldChar w:fldCharType="end"/>
    </w:r>
  </w:p>
  <w:p w:rsidR="00A86CCB" w:rsidRDefault="00A86C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CB" w:rsidRPr="00F8020C" w:rsidRDefault="00A86CCB" w:rsidP="000C552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36</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p w:rsidR="00A86CCB" w:rsidRDefault="00A86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E95BED"/>
    <w:multiLevelType w:val="multilevel"/>
    <w:tmpl w:val="9760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B90314"/>
    <w:multiLevelType w:val="hybridMultilevel"/>
    <w:tmpl w:val="A4BAF6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345D88"/>
    <w:multiLevelType w:val="hybridMultilevel"/>
    <w:tmpl w:val="037E47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7E2AC3"/>
    <w:multiLevelType w:val="hybridMultilevel"/>
    <w:tmpl w:val="883CF50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173F001B"/>
    <w:multiLevelType w:val="multilevel"/>
    <w:tmpl w:val="6914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C10783"/>
    <w:multiLevelType w:val="multilevel"/>
    <w:tmpl w:val="A518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810E9"/>
    <w:multiLevelType w:val="hybridMultilevel"/>
    <w:tmpl w:val="E6F4A8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CD83113"/>
    <w:multiLevelType w:val="hybridMultilevel"/>
    <w:tmpl w:val="A9603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63E58A9"/>
    <w:multiLevelType w:val="hybridMultilevel"/>
    <w:tmpl w:val="1E8AF4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A082EA5"/>
    <w:multiLevelType w:val="hybridMultilevel"/>
    <w:tmpl w:val="6D7A62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C1945A4"/>
    <w:multiLevelType w:val="hybridMultilevel"/>
    <w:tmpl w:val="BA840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9452569"/>
    <w:multiLevelType w:val="hybridMultilevel"/>
    <w:tmpl w:val="B2A050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D850431"/>
    <w:multiLevelType w:val="hybridMultilevel"/>
    <w:tmpl w:val="029C9B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5302519"/>
    <w:multiLevelType w:val="multilevel"/>
    <w:tmpl w:val="F3F2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271998"/>
    <w:multiLevelType w:val="hybridMultilevel"/>
    <w:tmpl w:val="3376B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CB9315D"/>
    <w:multiLevelType w:val="hybridMultilevel"/>
    <w:tmpl w:val="02B05E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FF71B5C"/>
    <w:multiLevelType w:val="hybridMultilevel"/>
    <w:tmpl w:val="B79E9C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DA734A9"/>
    <w:multiLevelType w:val="hybridMultilevel"/>
    <w:tmpl w:val="C8948C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F693C43"/>
    <w:multiLevelType w:val="hybridMultilevel"/>
    <w:tmpl w:val="14B84E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FB92CB3"/>
    <w:multiLevelType w:val="hybridMultilevel"/>
    <w:tmpl w:val="03BA36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51293864">
    <w:abstractNumId w:val="2"/>
  </w:num>
  <w:num w:numId="2" w16cid:durableId="277950071">
    <w:abstractNumId w:val="13"/>
  </w:num>
  <w:num w:numId="3" w16cid:durableId="556208146">
    <w:abstractNumId w:val="12"/>
  </w:num>
  <w:num w:numId="4" w16cid:durableId="1193806728">
    <w:abstractNumId w:val="0"/>
  </w:num>
  <w:num w:numId="5" w16cid:durableId="1833984412">
    <w:abstractNumId w:val="17"/>
  </w:num>
  <w:num w:numId="6" w16cid:durableId="882792827">
    <w:abstractNumId w:val="16"/>
  </w:num>
  <w:num w:numId="7" w16cid:durableId="1305357021">
    <w:abstractNumId w:val="20"/>
  </w:num>
  <w:num w:numId="8" w16cid:durableId="832600655">
    <w:abstractNumId w:val="22"/>
  </w:num>
  <w:num w:numId="9" w16cid:durableId="1461799804">
    <w:abstractNumId w:val="21"/>
  </w:num>
  <w:num w:numId="10" w16cid:durableId="508329970">
    <w:abstractNumId w:val="11"/>
  </w:num>
  <w:num w:numId="11" w16cid:durableId="1593585781">
    <w:abstractNumId w:val="3"/>
  </w:num>
  <w:num w:numId="12" w16cid:durableId="1408652385">
    <w:abstractNumId w:val="24"/>
  </w:num>
  <w:num w:numId="13" w16cid:durableId="96170978">
    <w:abstractNumId w:val="14"/>
  </w:num>
  <w:num w:numId="14" w16cid:durableId="1252661313">
    <w:abstractNumId w:val="23"/>
  </w:num>
  <w:num w:numId="15" w16cid:durableId="1553999731">
    <w:abstractNumId w:val="25"/>
  </w:num>
  <w:num w:numId="16" w16cid:durableId="956066805">
    <w:abstractNumId w:val="4"/>
  </w:num>
  <w:num w:numId="17" w16cid:durableId="211385968">
    <w:abstractNumId w:val="15"/>
  </w:num>
  <w:num w:numId="18" w16cid:durableId="2128961459">
    <w:abstractNumId w:val="10"/>
  </w:num>
  <w:num w:numId="19" w16cid:durableId="257062821">
    <w:abstractNumId w:val="18"/>
  </w:num>
  <w:num w:numId="20" w16cid:durableId="587158735">
    <w:abstractNumId w:val="9"/>
  </w:num>
  <w:num w:numId="21" w16cid:durableId="2138523654">
    <w:abstractNumId w:val="8"/>
  </w:num>
  <w:num w:numId="22" w16cid:durableId="2047095066">
    <w:abstractNumId w:val="19"/>
  </w:num>
  <w:num w:numId="23" w16cid:durableId="598828325">
    <w:abstractNumId w:val="1"/>
  </w:num>
  <w:num w:numId="24" w16cid:durableId="1136488951">
    <w:abstractNumId w:val="7"/>
  </w:num>
  <w:num w:numId="25" w16cid:durableId="1966428539">
    <w:abstractNumId w:val="6"/>
  </w:num>
  <w:num w:numId="26" w16cid:durableId="691494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0C5524"/>
    <w:rsid w:val="000C7255"/>
    <w:rsid w:val="000F6060"/>
    <w:rsid w:val="003147A7"/>
    <w:rsid w:val="00370CB0"/>
    <w:rsid w:val="003C1433"/>
    <w:rsid w:val="0049568C"/>
    <w:rsid w:val="005663CC"/>
    <w:rsid w:val="005924F2"/>
    <w:rsid w:val="005B6E3E"/>
    <w:rsid w:val="00737253"/>
    <w:rsid w:val="007419B7"/>
    <w:rsid w:val="00877B0F"/>
    <w:rsid w:val="008C3EED"/>
    <w:rsid w:val="00944CE3"/>
    <w:rsid w:val="00A53022"/>
    <w:rsid w:val="00A86CCB"/>
    <w:rsid w:val="00AA751F"/>
    <w:rsid w:val="00AB2565"/>
    <w:rsid w:val="00AB2DBB"/>
    <w:rsid w:val="00B364AA"/>
    <w:rsid w:val="00B557A2"/>
    <w:rsid w:val="00BF699F"/>
    <w:rsid w:val="00C05C58"/>
    <w:rsid w:val="00C10622"/>
    <w:rsid w:val="00EB1C29"/>
    <w:rsid w:val="00EB6929"/>
    <w:rsid w:val="00F01E0F"/>
    <w:rsid w:val="00F35E60"/>
    <w:rsid w:val="00F64262"/>
    <w:rsid w:val="00F85FF3"/>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B33C"/>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 w:id="185522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xtendmed.com/news-and-resources/kol-management" TargetMode="External"/><Relationship Id="rId18" Type="http://schemas.openxmlformats.org/officeDocument/2006/relationships/hyperlink" Target="https://profiles.stanford.edu/ravindra-majeti"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doi.org/10.5281/zenodo.17810271" TargetMode="External"/><Relationship Id="rId12" Type="http://schemas.openxmlformats.org/officeDocument/2006/relationships/hyperlink" Target="https://www.ivi.int/who-we-are/leadership/ravi-ganapathy/" TargetMode="External"/><Relationship Id="rId17" Type="http://schemas.openxmlformats.org/officeDocument/2006/relationships/hyperlink" Target="https://cseweb.ucsd.edu/~ravir/" TargetMode="External"/><Relationship Id="rId2" Type="http://schemas.openxmlformats.org/officeDocument/2006/relationships/styles" Target="styles.xml"/><Relationship Id="rId16" Type="http://schemas.openxmlformats.org/officeDocument/2006/relationships/hyperlink" Target="https://www.isscr.org/guidelines"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vpath.com/blog/one-pager-six-pager" TargetMode="External"/><Relationship Id="rId5" Type="http://schemas.openxmlformats.org/officeDocument/2006/relationships/footnotes" Target="footnotes.xml"/><Relationship Id="rId15" Type="http://schemas.openxmlformats.org/officeDocument/2006/relationships/hyperlink" Target="https://www.emeraldgrouppublishing.com/journal/tcj" TargetMode="External"/><Relationship Id="rId23" Type="http://schemas.openxmlformats.org/officeDocument/2006/relationships/theme" Target="theme/theme1.xml"/><Relationship Id="rId10" Type="http://schemas.openxmlformats.org/officeDocument/2006/relationships/hyperlink" Target="https://woxsen.edu.in/adobe-2024/assets/images/adobe24-abstracttemplate_v4.pdf" TargetMode="External"/><Relationship Id="rId19" Type="http://schemas.openxmlformats.org/officeDocument/2006/relationships/hyperlink" Target="https://www.infosys.com/engineering-services/white-papers/documents/roadmap-definition-aerospace-manufacturing.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visme.co/blog/amazon-6-pag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shankar da</cp:lastModifiedBy>
  <cp:revision>11</cp:revision>
  <dcterms:created xsi:type="dcterms:W3CDTF">2025-12-04T03:34:00Z</dcterms:created>
  <dcterms:modified xsi:type="dcterms:W3CDTF">2025-12-04T11:36:00Z</dcterms:modified>
</cp:coreProperties>
</file>