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3EED" w:rsidRDefault="00BF699F" w:rsidP="008C3EED">
      <w:pPr>
        <w:spacing w:after="0" w:line="160" w:lineRule="atLeast"/>
        <w:jc w:val="both"/>
        <w:rPr>
          <w:rFonts w:ascii="Arial" w:eastAsia="Arial" w:hAnsi="Arial" w:cs="Arial"/>
          <w:i/>
          <w:color w:val="000000"/>
          <w:spacing w:val="-1"/>
          <w:sz w:val="14"/>
          <w:szCs w:val="14"/>
        </w:rPr>
      </w:pPr>
      <w:r>
        <w:rPr>
          <w:rFonts w:ascii="Arial" w:eastAsia="Arial" w:hAnsi="Arial" w:cs="Arial"/>
          <w:i/>
          <w:noProof/>
          <w:color w:val="000000"/>
          <w:sz w:val="14"/>
          <w:szCs w:val="14"/>
        </w:rPr>
        <mc:AlternateContent>
          <mc:Choice Requires="wps">
            <w:drawing>
              <wp:anchor distT="0" distB="0" distL="114300" distR="114300" simplePos="0" relativeHeight="251659264" behindDoc="0" locked="0" layoutInCell="1" allowOverlap="1">
                <wp:simplePos x="0" y="0"/>
                <wp:positionH relativeFrom="column">
                  <wp:posOffset>-116958</wp:posOffset>
                </wp:positionH>
                <wp:positionV relativeFrom="paragraph">
                  <wp:posOffset>-372627</wp:posOffset>
                </wp:positionV>
                <wp:extent cx="6039293" cy="265814"/>
                <wp:effectExtent l="0" t="0" r="19050" b="20320"/>
                <wp:wrapNone/>
                <wp:docPr id="1220853310" name="Rectangle 1"/>
                <wp:cNvGraphicFramePr/>
                <a:graphic xmlns:a="http://schemas.openxmlformats.org/drawingml/2006/main">
                  <a:graphicData uri="http://schemas.microsoft.com/office/word/2010/wordprocessingShape">
                    <wps:wsp>
                      <wps:cNvSpPr/>
                      <wps:spPr>
                        <a:xfrm>
                          <a:off x="0" y="0"/>
                          <a:ext cx="6039293" cy="26581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DE8C7" id="Rectangle 1" o:spid="_x0000_s1026" style="position:absolute;margin-left:-9.2pt;margin-top:-29.35pt;width:475.55pt;height:2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7kegIAAIYFAAAOAAAAZHJzL2Uyb0RvYy54bWysVFFP2zAQfp+0/2D5fSQphUFFiioQ0yQE&#10;aDDx7Dp2E8nxeWe3affrd3bSFBjaA9qL4/PdfXf35e4uLretYRuFvgFb8uIo50xZCVVjVyX/+XTz&#10;5YwzH4SthAGrSr5Tnl/OP3+66NxMTaAGUylkBGL9rHMlr0Nwsyzzslat8EfglCWlBmxFIBFXWYWi&#10;I/TWZJM8P806wMohSOU9vV73Sj5P+ForGe619iowU3LKLaQT07mMZza/ELMVClc3ckhDfCCLVjSW&#10;go5Q1yIItsbmL6i2kQgedDiS0GagdSNVqoGqKfI31TzWwqlUC5Hj3UiT/3+w8m7z6B6QaOicn3m6&#10;xiq2Gtv4pfzYNpG1G8lS28AkPZ7mx+eT82POJOkmpydnxTSymR28HfrwTUHL4qXkSD8jcSQ2tz70&#10;pnuTGMyDaaqbxpgkxAZQVwbZRtCvW66KAfyVlbEfcqQco2d2KDndws6oiGfsD6VZU1GRk5Rw6sZD&#10;MkJKZUPRq2pRqT7H4iTPU0MR/OiRCEmAEVlTdSP2APC60D12T89gH11VaubROf9XYr3z6JEigw2j&#10;c9tYwPcADFU1RO7t9yT11ESWllDtHpAh9KPknbxp6PfeCh8eBNLs0JTRPgj3dGgDXclhuHFWA/5+&#10;7z3aU0uTlrOOZrHk/tdaoOLMfLfU7OfFdBqHNwnTk68TEvClZvlSY9ftFVDPFLR5nEzXaB/M/qoR&#10;2mdaG4sYlVTCSopdchlwL1yFfkfQ4pFqsUhmNLBOhFv76GQEj6zG9n3aPgt0Q48Hmo472M+tmL1p&#10;9d42elpYrAPoJs3BgdeBbxr21DjDYorb5KWcrA7rc/4HAAD//wMAUEsDBBQABgAIAAAAIQDhRP+n&#10;4QAAAAsBAAAPAAAAZHJzL2Rvd25yZXYueG1sTI9BS8NAEIXvgv9hGcFbu2nUNo3ZFBFFhB60Fdrj&#10;NJlNgtndkN2k8d87PentDe/jzXvZZjKtGKn3jbMKFvMIBNnClY2tFHztX2cJCB/Qltg6Swp+yMMm&#10;v77KMC3d2X7SuAuV4BDrU1RQh9ClUvqiJoN+7jqy7GnXGwx89pUsezxzuGllHEVLabCx/KHGjp5r&#10;Kr53g1Fw1Pi2f3n3W6njUa+bj+GgV4NStzfT0yOIQFP4g+FSn6tDzp1ObrClF62C2SK5Z5TFQ7IC&#10;wcT6LmZxuljLBGSeyf8b8l8AAAD//wMAUEsBAi0AFAAGAAgAAAAhALaDOJL+AAAA4QEAABMAAAAA&#10;AAAAAAAAAAAAAAAAAFtDb250ZW50X1R5cGVzXS54bWxQSwECLQAUAAYACAAAACEAOP0h/9YAAACU&#10;AQAACwAAAAAAAAAAAAAAAAAvAQAAX3JlbHMvLnJlbHNQSwECLQAUAAYACAAAACEAH3jO5HoCAACG&#10;BQAADgAAAAAAAAAAAAAAAAAuAgAAZHJzL2Uyb0RvYy54bWxQSwECLQAUAAYACAAAACEA4UT/p+EA&#10;AAALAQAADwAAAAAAAAAAAAAAAADUBAAAZHJzL2Rvd25yZXYueG1sUEsFBgAAAAAEAAQA8wAAAOIF&#10;AAAAAA==&#10;" fillcolor="white [3212]" strokecolor="white [3212]" strokeweight="1pt"/>
            </w:pict>
          </mc:Fallback>
        </mc:AlternateContent>
      </w:r>
      <w:r w:rsidR="008C3EED">
        <w:rPr>
          <w:rFonts w:ascii="Arial" w:eastAsia="Arial" w:hAnsi="Arial" w:cs="Arial"/>
          <w:i/>
          <w:color w:val="000000"/>
          <w:sz w:val="14"/>
          <w:szCs w:val="14"/>
        </w:rPr>
        <w:t>©</w:t>
      </w:r>
      <w:r w:rsidR="008C3EED">
        <w:rPr>
          <w:rFonts w:ascii="Arial" w:eastAsia="Arial" w:hAnsi="Arial" w:cs="Arial"/>
          <w:i/>
          <w:color w:val="000000"/>
          <w:spacing w:val="-1"/>
          <w:sz w:val="14"/>
          <w:szCs w:val="14"/>
        </w:rPr>
        <w:t xml:space="preserve"> </w:t>
      </w:r>
      <w:r w:rsidR="008C3EED">
        <w:rPr>
          <w:rFonts w:ascii="Arial" w:eastAsia="Arial" w:hAnsi="Arial" w:cs="Arial"/>
          <w:i/>
          <w:color w:val="000000"/>
          <w:sz w:val="14"/>
          <w:szCs w:val="14"/>
        </w:rPr>
        <w:t>International</w:t>
      </w:r>
      <w:r w:rsidR="008C3EED">
        <w:rPr>
          <w:rFonts w:ascii="Arial" w:eastAsia="Arial" w:hAnsi="Arial" w:cs="Arial"/>
          <w:i/>
          <w:color w:val="000000"/>
          <w:spacing w:val="-1"/>
          <w:sz w:val="14"/>
          <w:szCs w:val="14"/>
        </w:rPr>
        <w:t xml:space="preserve"> Academic Research Journal of Economics and Finance</w:t>
      </w:r>
      <w:r w:rsidR="008C3EED">
        <w:rPr>
          <w:rFonts w:ascii="Arial" w:eastAsia="Arial" w:hAnsi="Arial" w:cs="Arial"/>
          <w:i/>
          <w:color w:val="000000"/>
          <w:spacing w:val="-1"/>
          <w:sz w:val="14"/>
          <w:szCs w:val="14"/>
        </w:rPr>
        <w:tab/>
      </w:r>
      <w:r w:rsidR="008C3EED">
        <w:rPr>
          <w:rFonts w:ascii="Arial" w:eastAsia="Arial" w:hAnsi="Arial" w:cs="Arial"/>
          <w:i/>
          <w:color w:val="000000"/>
          <w:spacing w:val="-1"/>
          <w:sz w:val="14"/>
          <w:szCs w:val="14"/>
        </w:rPr>
        <w:tab/>
      </w:r>
      <w:r w:rsidR="008C3EED">
        <w:rPr>
          <w:rFonts w:ascii="Arial" w:eastAsia="Arial" w:hAnsi="Arial" w:cs="Arial"/>
          <w:i/>
          <w:color w:val="000000"/>
          <w:spacing w:val="-1"/>
          <w:sz w:val="14"/>
          <w:szCs w:val="14"/>
        </w:rPr>
        <w:tab/>
        <w:t xml:space="preserve">                                </w:t>
      </w:r>
      <w:r w:rsidR="000C5524">
        <w:rPr>
          <w:rFonts w:ascii="Arial" w:eastAsia="Arial" w:hAnsi="Arial" w:cs="Arial"/>
          <w:i/>
          <w:color w:val="000000"/>
          <w:spacing w:val="-1"/>
          <w:sz w:val="14"/>
          <w:szCs w:val="14"/>
        </w:rPr>
        <w:t xml:space="preserve">        </w:t>
      </w:r>
      <w:r w:rsidR="008C3EED">
        <w:rPr>
          <w:rFonts w:ascii="Arial" w:eastAsia="Arial" w:hAnsi="Arial" w:cs="Arial"/>
          <w:i/>
          <w:color w:val="000000" w:themeColor="text1"/>
          <w:spacing w:val="-1"/>
          <w:sz w:val="14"/>
          <w:szCs w:val="14"/>
        </w:rPr>
        <w:t>ISSN:2227-1287</w:t>
      </w:r>
    </w:p>
    <w:p w:rsidR="007419B7" w:rsidRPr="000C5524" w:rsidRDefault="008C3EED" w:rsidP="00B557A2">
      <w:pPr>
        <w:spacing w:after="0" w:line="160" w:lineRule="atLeast"/>
        <w:jc w:val="both"/>
        <w:rPr>
          <w:rFonts w:ascii="Arial" w:eastAsia="Arial" w:hAnsi="Arial" w:cs="Arial"/>
          <w:i/>
          <w:color w:val="000000"/>
          <w:spacing w:val="-1"/>
          <w:sz w:val="14"/>
          <w:szCs w:val="14"/>
        </w:rPr>
      </w:pPr>
      <w:r>
        <w:rPr>
          <w:rFonts w:ascii="Arial" w:eastAsia="Arial" w:hAnsi="Arial" w:cs="Arial"/>
          <w:i/>
          <w:color w:val="000000"/>
          <w:spacing w:val="-1"/>
          <w:sz w:val="14"/>
          <w:szCs w:val="14"/>
        </w:rPr>
        <w:t>Volume 8, Issue No:1, December 2025</w:t>
      </w:r>
      <w:r w:rsidR="000C5524">
        <w:rPr>
          <w:rFonts w:ascii="Arial" w:eastAsia="Arial" w:hAnsi="Arial" w:cs="Arial"/>
          <w:i/>
          <w:color w:val="000000"/>
          <w:spacing w:val="-1"/>
          <w:sz w:val="14"/>
          <w:szCs w:val="14"/>
        </w:rPr>
        <w:tab/>
      </w:r>
      <w:r w:rsidR="000C5524">
        <w:rPr>
          <w:rFonts w:ascii="Arial" w:eastAsia="Arial" w:hAnsi="Arial" w:cs="Arial"/>
          <w:i/>
          <w:color w:val="000000"/>
          <w:spacing w:val="-1"/>
          <w:sz w:val="14"/>
          <w:szCs w:val="14"/>
        </w:rPr>
        <w:tab/>
      </w:r>
      <w:r w:rsidR="000C5524">
        <w:rPr>
          <w:rFonts w:ascii="Arial" w:eastAsia="Arial" w:hAnsi="Arial" w:cs="Arial"/>
          <w:i/>
          <w:color w:val="000000"/>
          <w:spacing w:val="-1"/>
          <w:sz w:val="14"/>
          <w:szCs w:val="14"/>
        </w:rPr>
        <w:tab/>
      </w:r>
      <w:r w:rsidR="000C5524">
        <w:rPr>
          <w:rFonts w:ascii="Arial" w:eastAsia="Arial" w:hAnsi="Arial" w:cs="Arial"/>
          <w:i/>
          <w:color w:val="000000"/>
          <w:spacing w:val="-1"/>
          <w:sz w:val="14"/>
          <w:szCs w:val="14"/>
        </w:rPr>
        <w:tab/>
      </w:r>
      <w:r w:rsidR="000C5524">
        <w:rPr>
          <w:rFonts w:ascii="Arial" w:eastAsia="Arial" w:hAnsi="Arial" w:cs="Arial"/>
          <w:i/>
          <w:color w:val="000000"/>
          <w:spacing w:val="-1"/>
          <w:sz w:val="14"/>
          <w:szCs w:val="14"/>
        </w:rPr>
        <w:tab/>
        <w:t xml:space="preserve">          </w:t>
      </w:r>
      <w:r>
        <w:rPr>
          <w:rFonts w:ascii="Arial" w:eastAsia="Arial" w:hAnsi="Arial" w:cs="Arial"/>
          <w:i/>
          <w:color w:val="000000"/>
          <w:spacing w:val="-1"/>
          <w:sz w:val="14"/>
          <w:szCs w:val="14"/>
        </w:rPr>
        <w:t xml:space="preserve">DOI: </w:t>
      </w:r>
      <w:hyperlink r:id="rId7" w:history="1">
        <w:r w:rsidR="00B557A2" w:rsidRPr="002F25DD">
          <w:rPr>
            <w:rStyle w:val="Hyperlink"/>
            <w:rFonts w:ascii="Arial" w:eastAsia="Arial" w:hAnsi="Arial" w:cs="Arial"/>
            <w:i/>
            <w:spacing w:val="-1"/>
            <w:sz w:val="14"/>
            <w:szCs w:val="14"/>
          </w:rPr>
          <w:t>https://doi.org/10.5281/zenodo.</w:t>
        </w:r>
        <w:r w:rsidR="00B557A2" w:rsidRPr="002F25DD">
          <w:rPr>
            <w:rStyle w:val="Hyperlink"/>
            <w:rFonts w:ascii="Arial" w:eastAsia="Arial" w:hAnsi="Arial" w:cs="Arial"/>
            <w:b/>
            <w:bCs/>
            <w:i/>
            <w:spacing w:val="-1"/>
            <w:sz w:val="14"/>
            <w:szCs w:val="14"/>
          </w:rPr>
          <w:t>17810271</w:t>
        </w:r>
      </w:hyperlink>
    </w:p>
    <w:p w:rsidR="00B557A2" w:rsidRPr="00EB6929" w:rsidRDefault="00B557A2" w:rsidP="00B557A2">
      <w:pPr>
        <w:spacing w:after="0" w:line="160" w:lineRule="atLeast"/>
        <w:jc w:val="both"/>
        <w:rPr>
          <w:rFonts w:ascii="Arial" w:eastAsia="Times New Roman" w:hAnsi="Arial" w:cs="Arial"/>
          <w:b/>
          <w:bCs/>
          <w:kern w:val="36"/>
          <w:sz w:val="26"/>
          <w:szCs w:val="26"/>
          <w:lang w:eastAsia="en-IN"/>
        </w:rPr>
      </w:pPr>
    </w:p>
    <w:p w:rsidR="00877B0F" w:rsidRPr="000C5524" w:rsidRDefault="00877B0F" w:rsidP="00877B0F">
      <w:pPr>
        <w:jc w:val="center"/>
        <w:rPr>
          <w:rFonts w:ascii="Times New Roman" w:hAnsi="Times New Roman" w:cs="Times New Roman"/>
          <w:b/>
          <w:bCs/>
          <w:sz w:val="32"/>
          <w:szCs w:val="32"/>
        </w:rPr>
      </w:pPr>
      <w:r w:rsidRPr="000C5524">
        <w:rPr>
          <w:rFonts w:ascii="Times New Roman" w:hAnsi="Times New Roman" w:cs="Times New Roman"/>
          <w:b/>
          <w:bCs/>
          <w:sz w:val="32"/>
          <w:szCs w:val="32"/>
        </w:rPr>
        <w:t>Currency vs Confidence: A Phased Hedging Playbook for a Growing Exporter</w:t>
      </w:r>
    </w:p>
    <w:tbl>
      <w:tblPr>
        <w:tblStyle w:val="TableGrid"/>
        <w:tblW w:w="0" w:type="auto"/>
        <w:tblInd w:w="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826"/>
      </w:tblGrid>
      <w:tr w:rsidR="007419B7" w:rsidRPr="00EB6929" w:rsidTr="003147A7">
        <w:tc>
          <w:tcPr>
            <w:tcW w:w="3828" w:type="dxa"/>
          </w:tcPr>
          <w:p w:rsidR="00EB1C29" w:rsidRPr="000C5524" w:rsidRDefault="000C5524" w:rsidP="00EB1C29">
            <w:pPr>
              <w:contextualSpacing/>
              <w:jc w:val="center"/>
              <w:rPr>
                <w:rFonts w:cstheme="minorHAnsi"/>
                <w:b/>
                <w:bCs/>
                <w:sz w:val="16"/>
                <w:szCs w:val="16"/>
              </w:rPr>
            </w:pPr>
            <w:r w:rsidRPr="000C5524">
              <w:rPr>
                <w:rFonts w:cstheme="minorHAnsi"/>
                <w:b/>
                <w:bCs/>
                <w:sz w:val="16"/>
                <w:szCs w:val="16"/>
              </w:rPr>
              <w:t xml:space="preserve">Vihasini A </w:t>
            </w:r>
          </w:p>
          <w:p w:rsidR="007419B7" w:rsidRPr="000C5524" w:rsidRDefault="007419B7" w:rsidP="007419B7">
            <w:pPr>
              <w:contextualSpacing/>
              <w:jc w:val="center"/>
              <w:rPr>
                <w:rFonts w:cstheme="minorHAnsi"/>
                <w:sz w:val="16"/>
                <w:szCs w:val="16"/>
              </w:rPr>
            </w:pPr>
            <w:r w:rsidRPr="000C5524">
              <w:rPr>
                <w:rFonts w:cstheme="minorHAnsi"/>
                <w:sz w:val="16"/>
                <w:szCs w:val="16"/>
              </w:rPr>
              <w:t>Student, Faculty of Management Studies,</w:t>
            </w:r>
          </w:p>
          <w:p w:rsidR="007419B7" w:rsidRPr="000C5524" w:rsidRDefault="007419B7" w:rsidP="007419B7">
            <w:pPr>
              <w:contextualSpacing/>
              <w:jc w:val="center"/>
              <w:rPr>
                <w:rFonts w:cstheme="minorHAnsi"/>
                <w:sz w:val="16"/>
                <w:szCs w:val="16"/>
              </w:rPr>
            </w:pPr>
            <w:r w:rsidRPr="000C5524">
              <w:rPr>
                <w:rFonts w:cstheme="minorHAnsi"/>
                <w:sz w:val="16"/>
                <w:szCs w:val="16"/>
              </w:rPr>
              <w:t xml:space="preserve"> CMS Business School, </w:t>
            </w:r>
          </w:p>
          <w:p w:rsidR="007419B7" w:rsidRPr="000C5524" w:rsidRDefault="007419B7" w:rsidP="007419B7">
            <w:pPr>
              <w:contextualSpacing/>
              <w:jc w:val="center"/>
              <w:rPr>
                <w:rFonts w:cstheme="minorHAnsi"/>
                <w:sz w:val="16"/>
                <w:szCs w:val="16"/>
              </w:rPr>
            </w:pPr>
            <w:r w:rsidRPr="000C5524">
              <w:rPr>
                <w:rFonts w:cstheme="minorHAnsi"/>
                <w:sz w:val="16"/>
                <w:szCs w:val="16"/>
              </w:rPr>
              <w:t>JAIN (Deemed-to-be University) Bangalore, India</w:t>
            </w:r>
          </w:p>
        </w:tc>
        <w:tc>
          <w:tcPr>
            <w:tcW w:w="3826" w:type="dxa"/>
          </w:tcPr>
          <w:p w:rsidR="00EB1C29" w:rsidRPr="000C5524" w:rsidRDefault="00EB1C29" w:rsidP="00EB1C29">
            <w:pPr>
              <w:contextualSpacing/>
              <w:jc w:val="center"/>
              <w:outlineLvl w:val="0"/>
              <w:rPr>
                <w:rFonts w:eastAsia="Times New Roman" w:cstheme="minorHAnsi"/>
                <w:b/>
                <w:bCs/>
                <w:i/>
                <w:iCs/>
                <w:sz w:val="16"/>
                <w:szCs w:val="16"/>
                <w:lang w:eastAsia="en-IN"/>
              </w:rPr>
            </w:pPr>
            <w:r w:rsidRPr="000C5524">
              <w:rPr>
                <w:rFonts w:eastAsia="Times New Roman" w:cstheme="minorHAnsi"/>
                <w:b/>
                <w:bCs/>
                <w:i/>
                <w:iCs/>
                <w:sz w:val="16"/>
                <w:szCs w:val="16"/>
                <w:lang w:eastAsia="en-IN"/>
              </w:rPr>
              <w:t>Dr. Vinoth S</w:t>
            </w:r>
          </w:p>
          <w:p w:rsidR="007419B7" w:rsidRPr="000C5524" w:rsidRDefault="007419B7" w:rsidP="007419B7">
            <w:pPr>
              <w:contextualSpacing/>
              <w:jc w:val="center"/>
              <w:outlineLvl w:val="0"/>
              <w:rPr>
                <w:rFonts w:cstheme="minorHAnsi"/>
                <w:sz w:val="16"/>
                <w:szCs w:val="16"/>
              </w:rPr>
            </w:pPr>
            <w:r w:rsidRPr="000C5524">
              <w:rPr>
                <w:rFonts w:cstheme="minorHAnsi"/>
                <w:sz w:val="16"/>
                <w:szCs w:val="16"/>
              </w:rPr>
              <w:t xml:space="preserve">Professor, Faculty of Management Studies, </w:t>
            </w:r>
          </w:p>
          <w:p w:rsidR="007419B7" w:rsidRPr="000C5524" w:rsidRDefault="007419B7" w:rsidP="007419B7">
            <w:pPr>
              <w:contextualSpacing/>
              <w:jc w:val="center"/>
              <w:outlineLvl w:val="0"/>
              <w:rPr>
                <w:rFonts w:cstheme="minorHAnsi"/>
                <w:sz w:val="16"/>
                <w:szCs w:val="16"/>
              </w:rPr>
            </w:pPr>
            <w:r w:rsidRPr="000C5524">
              <w:rPr>
                <w:rFonts w:cstheme="minorHAnsi"/>
                <w:sz w:val="16"/>
                <w:szCs w:val="16"/>
              </w:rPr>
              <w:t xml:space="preserve">CMS Business School, </w:t>
            </w:r>
          </w:p>
          <w:p w:rsidR="007419B7" w:rsidRPr="000C5524" w:rsidRDefault="007419B7" w:rsidP="007419B7">
            <w:pPr>
              <w:contextualSpacing/>
              <w:jc w:val="center"/>
              <w:outlineLvl w:val="0"/>
              <w:rPr>
                <w:rFonts w:cstheme="minorHAnsi"/>
                <w:sz w:val="16"/>
                <w:szCs w:val="16"/>
              </w:rPr>
            </w:pPr>
            <w:r w:rsidRPr="000C5524">
              <w:rPr>
                <w:rFonts w:cstheme="minorHAnsi"/>
                <w:sz w:val="16"/>
                <w:szCs w:val="16"/>
              </w:rPr>
              <w:t xml:space="preserve">JAIN (Deemed-to-be University) Bangalore, India. </w:t>
            </w:r>
          </w:p>
        </w:tc>
      </w:tr>
    </w:tbl>
    <w:p w:rsidR="007419B7" w:rsidRPr="00EB6929" w:rsidRDefault="007419B7" w:rsidP="00C05C58">
      <w:pPr>
        <w:spacing w:after="0"/>
        <w:jc w:val="center"/>
        <w:rPr>
          <w:rFonts w:ascii="Arial" w:hAnsi="Arial" w:cs="Arial"/>
          <w:b/>
          <w:sz w:val="28"/>
        </w:rPr>
      </w:pPr>
    </w:p>
    <w:p w:rsidR="00EB6929" w:rsidRPr="000C5524" w:rsidRDefault="00EB6929" w:rsidP="000C5524">
      <w:pPr>
        <w:spacing w:after="120" w:line="240" w:lineRule="auto"/>
        <w:ind w:left="720" w:right="386"/>
        <w:jc w:val="center"/>
        <w:rPr>
          <w:rFonts w:ascii="Arial" w:hAnsi="Arial" w:cs="Arial"/>
          <w:b/>
          <w:i/>
          <w:iCs/>
          <w:sz w:val="18"/>
          <w:szCs w:val="18"/>
        </w:rPr>
      </w:pPr>
      <w:r w:rsidRPr="000C5524">
        <w:rPr>
          <w:rFonts w:ascii="Arial" w:hAnsi="Arial" w:cs="Arial"/>
          <w:b/>
          <w:i/>
          <w:iCs/>
          <w:sz w:val="18"/>
          <w:szCs w:val="18"/>
        </w:rPr>
        <w:t>Abstract</w:t>
      </w:r>
    </w:p>
    <w:p w:rsidR="00877B0F" w:rsidRPr="000C5524" w:rsidRDefault="00877B0F" w:rsidP="000C5524">
      <w:pPr>
        <w:spacing w:after="120" w:line="240" w:lineRule="auto"/>
        <w:ind w:left="720" w:right="386"/>
        <w:jc w:val="both"/>
        <w:rPr>
          <w:rFonts w:ascii="Arial" w:hAnsi="Arial" w:cs="Arial"/>
          <w:sz w:val="18"/>
          <w:szCs w:val="18"/>
        </w:rPr>
      </w:pPr>
      <w:r w:rsidRPr="000C5524">
        <w:rPr>
          <w:rFonts w:ascii="Arial" w:hAnsi="Arial" w:cs="Arial"/>
          <w:sz w:val="18"/>
          <w:szCs w:val="18"/>
        </w:rPr>
        <w:t xml:space="preserve">Emerging-market exporters face significant foreign exchange risks through unhedged foreign-currency receivables, which expose cash flows and profit margins to currency volatility, especially during Indian Rupee (INR) appreciation. This case describes a real-world advisory engagement at Growth Arrow LLP with a direct-to-consumer MSME exporter. The firm used a simple, phased hedging strategy: maintaining a 50% forward cover on exposures plus selective put/call options for large contracts, complemented by a live dashboard integrating exposure tracking and mark-to-market reporting. These tools combined with education and </w:t>
      </w:r>
      <w:proofErr w:type="spellStart"/>
      <w:r w:rsidRPr="000C5524">
        <w:rPr>
          <w:rFonts w:ascii="Arial" w:hAnsi="Arial" w:cs="Arial"/>
          <w:sz w:val="18"/>
          <w:szCs w:val="18"/>
        </w:rPr>
        <w:t>behavioral</w:t>
      </w:r>
      <w:proofErr w:type="spellEnd"/>
      <w:r w:rsidRPr="000C5524">
        <w:rPr>
          <w:rFonts w:ascii="Arial" w:hAnsi="Arial" w:cs="Arial"/>
          <w:sz w:val="18"/>
          <w:szCs w:val="18"/>
        </w:rPr>
        <w:t xml:space="preserve"> uplift helped bridge governance gaps, stabilize cash flows, and preserve upside potential. The solution aligns with Reserve Bank of India’s (RBI) risk management guidelines and regulatory compliance. The case explores export hedging challenges, the design of operational policy embedded in compliance frameworks, and lessons learned from </w:t>
      </w:r>
      <w:proofErr w:type="spellStart"/>
      <w:r w:rsidRPr="000C5524">
        <w:rPr>
          <w:rFonts w:ascii="Arial" w:hAnsi="Arial" w:cs="Arial"/>
          <w:sz w:val="18"/>
          <w:szCs w:val="18"/>
        </w:rPr>
        <w:t>behavioral</w:t>
      </w:r>
      <w:proofErr w:type="spellEnd"/>
      <w:r w:rsidRPr="000C5524">
        <w:rPr>
          <w:rFonts w:ascii="Arial" w:hAnsi="Arial" w:cs="Arial"/>
          <w:sz w:val="18"/>
          <w:szCs w:val="18"/>
        </w:rPr>
        <w:t xml:space="preserve"> adoption tactics like explainer content and contract libraries. This adaptive approach highlights balancing risk reduction with managerial bandwidth and client comfort, providing valuable insights for MSME exporters navigating FX risks.</w:t>
      </w:r>
    </w:p>
    <w:p w:rsidR="00877B0F" w:rsidRPr="000C5524" w:rsidRDefault="00877B0F" w:rsidP="000C5524">
      <w:pPr>
        <w:spacing w:after="120" w:line="240" w:lineRule="auto"/>
        <w:ind w:left="720" w:right="386"/>
        <w:jc w:val="both"/>
        <w:rPr>
          <w:rFonts w:ascii="Arial" w:hAnsi="Arial" w:cs="Arial"/>
          <w:sz w:val="18"/>
          <w:szCs w:val="18"/>
        </w:rPr>
      </w:pPr>
      <w:r w:rsidRPr="000C5524">
        <w:rPr>
          <w:rFonts w:ascii="Arial" w:hAnsi="Arial" w:cs="Arial"/>
          <w:b/>
          <w:bCs/>
          <w:sz w:val="18"/>
          <w:szCs w:val="18"/>
        </w:rPr>
        <w:t>Keywords:</w:t>
      </w:r>
      <w:r w:rsidRPr="000C5524">
        <w:rPr>
          <w:rFonts w:ascii="Arial" w:hAnsi="Arial" w:cs="Arial"/>
          <w:sz w:val="18"/>
          <w:szCs w:val="18"/>
        </w:rPr>
        <w:t xml:space="preserve"> MSME exports, currency risk, hedging strategy, forward contracts, options, RBI compliance, cash flow management</w:t>
      </w:r>
    </w:p>
    <w:p w:rsidR="000C5524" w:rsidRDefault="000C5524" w:rsidP="000C7255">
      <w:pPr>
        <w:jc w:val="center"/>
        <w:rPr>
          <w:rFonts w:ascii="Arial" w:hAnsi="Arial" w:cs="Arial"/>
          <w:sz w:val="18"/>
          <w:szCs w:val="18"/>
        </w:rPr>
        <w:sectPr w:rsidR="000C5524" w:rsidSect="000C5524">
          <w:headerReference w:type="even" r:id="rId8"/>
          <w:headerReference w:type="default" r:id="rId9"/>
          <w:type w:val="continuous"/>
          <w:pgSz w:w="11906" w:h="16838" w:code="9"/>
          <w:pgMar w:top="1440" w:right="1440" w:bottom="1440" w:left="1440" w:header="1008" w:footer="706" w:gutter="0"/>
          <w:pgNumType w:start="38"/>
          <w:cols w:space="708"/>
          <w:docGrid w:linePitch="360"/>
        </w:sectPr>
      </w:pPr>
    </w:p>
    <w:p w:rsidR="000C5524" w:rsidRPr="000C5524" w:rsidRDefault="000C5524" w:rsidP="000C5524">
      <w:pPr>
        <w:spacing w:after="120" w:line="276" w:lineRule="auto"/>
        <w:jc w:val="center"/>
        <w:rPr>
          <w:rFonts w:ascii="Arial" w:hAnsi="Arial" w:cs="Arial"/>
          <w:b/>
          <w:caps/>
          <w:sz w:val="14"/>
          <w:szCs w:val="14"/>
        </w:rPr>
      </w:pPr>
    </w:p>
    <w:p w:rsidR="000C7255" w:rsidRPr="000C5524" w:rsidRDefault="000C7255" w:rsidP="000C5524">
      <w:pPr>
        <w:spacing w:after="120" w:line="276" w:lineRule="auto"/>
        <w:jc w:val="center"/>
        <w:rPr>
          <w:rFonts w:ascii="Arial" w:hAnsi="Arial" w:cs="Arial"/>
          <w:b/>
          <w:caps/>
        </w:rPr>
      </w:pPr>
      <w:r w:rsidRPr="000C5524">
        <w:rPr>
          <w:rFonts w:ascii="Arial" w:hAnsi="Arial" w:cs="Arial"/>
          <w:b/>
          <w:caps/>
        </w:rPr>
        <w:t>Introduction</w:t>
      </w:r>
    </w:p>
    <w:p w:rsidR="00877B0F" w:rsidRPr="000C5524" w:rsidRDefault="00877B0F" w:rsidP="000C5524">
      <w:pPr>
        <w:spacing w:after="120" w:line="276" w:lineRule="auto"/>
        <w:ind w:firstLine="720"/>
        <w:jc w:val="both"/>
        <w:rPr>
          <w:rFonts w:ascii="Arial" w:eastAsia="Times New Roman" w:hAnsi="Arial" w:cs="Arial"/>
          <w:lang w:eastAsia="en-IN"/>
        </w:rPr>
      </w:pPr>
      <w:r w:rsidRPr="000C5524">
        <w:rPr>
          <w:rFonts w:ascii="Arial" w:eastAsia="Times New Roman" w:hAnsi="Arial" w:cs="Arial"/>
          <w:lang w:eastAsia="en-IN"/>
        </w:rPr>
        <w:t xml:space="preserve">Growth Arrow LLP’s MSME client is a fast-growing direct-to-consumer exporter billing primarily in USD and EUR. The firm’s early-stage strategy eschewed currency hedging, selecting instead to benefit from potentially </w:t>
      </w:r>
      <w:proofErr w:type="spellStart"/>
      <w:r w:rsidRPr="000C5524">
        <w:rPr>
          <w:rFonts w:ascii="Arial" w:eastAsia="Times New Roman" w:hAnsi="Arial" w:cs="Arial"/>
          <w:lang w:eastAsia="en-IN"/>
        </w:rPr>
        <w:t>favorable</w:t>
      </w:r>
      <w:proofErr w:type="spellEnd"/>
      <w:r w:rsidRPr="000C5524">
        <w:rPr>
          <w:rFonts w:ascii="Arial" w:eastAsia="Times New Roman" w:hAnsi="Arial" w:cs="Arial"/>
          <w:lang w:eastAsia="en-IN"/>
        </w:rPr>
        <w:t xml:space="preserve"> currency moves. When the Indian Rupee appreciated unexpectedly, the exporter experienced compressed revenue realizations despite stable sales volumes, exposing fragile revenue forecasting and risk governance.</w:t>
      </w:r>
    </w:p>
    <w:p w:rsidR="00877B0F" w:rsidRPr="000C5524" w:rsidRDefault="00877B0F" w:rsidP="000C5524">
      <w:pPr>
        <w:spacing w:after="120" w:line="276" w:lineRule="auto"/>
        <w:ind w:firstLine="720"/>
        <w:jc w:val="both"/>
        <w:rPr>
          <w:rFonts w:ascii="Arial" w:eastAsia="Times New Roman" w:hAnsi="Arial" w:cs="Arial"/>
          <w:lang w:eastAsia="en-IN"/>
        </w:rPr>
      </w:pPr>
      <w:r w:rsidRPr="000C5524">
        <w:rPr>
          <w:rFonts w:ascii="Arial" w:eastAsia="Times New Roman" w:hAnsi="Arial" w:cs="Arial"/>
          <w:lang w:eastAsia="en-IN"/>
        </w:rPr>
        <w:t xml:space="preserve">The advisory team diagnosed a governance gap wherein revenue planning operated largely independently of FX risk management. In collaboration with the client, Growth Arrow LLP deployed a phased hedging playbook: baseline exposure coverage via 50% forwards paired with outlier contract risk mitigation through options. Critically, this financial protection was embedded in an operational dashboard that translated unreconciled contracts into transparent cash flow </w:t>
      </w:r>
      <w:r w:rsidRPr="000C5524">
        <w:rPr>
          <w:rFonts w:ascii="Arial" w:eastAsia="Times New Roman" w:hAnsi="Arial" w:cs="Arial"/>
          <w:lang w:eastAsia="en-IN"/>
        </w:rPr>
        <w:t>projections for monthly management reviews.</w:t>
      </w:r>
    </w:p>
    <w:p w:rsidR="00877B0F" w:rsidRPr="000C5524" w:rsidRDefault="00877B0F" w:rsidP="000C5524">
      <w:pPr>
        <w:spacing w:after="120" w:line="276" w:lineRule="auto"/>
        <w:ind w:firstLine="720"/>
        <w:jc w:val="both"/>
        <w:rPr>
          <w:rFonts w:ascii="Arial" w:eastAsia="Times New Roman" w:hAnsi="Arial" w:cs="Arial"/>
          <w:lang w:eastAsia="en-IN"/>
        </w:rPr>
      </w:pPr>
      <w:r w:rsidRPr="000C5524">
        <w:rPr>
          <w:rFonts w:ascii="Arial" w:eastAsia="Times New Roman" w:hAnsi="Arial" w:cs="Arial"/>
          <w:lang w:eastAsia="en-IN"/>
        </w:rPr>
        <w:t>Educational interventions, including simplified explanation decks and contract libraries, addressed psychological and knowledge barriers among decision makers. Compliance was ensured by following RBI Master Directions on foreign exchange risk management, encompassing counterparty vetting, documentation standards, and reporting protocols.</w:t>
      </w:r>
    </w:p>
    <w:p w:rsidR="00877B0F" w:rsidRPr="000C5524" w:rsidRDefault="00877B0F" w:rsidP="000C5524">
      <w:pPr>
        <w:spacing w:after="120" w:line="276" w:lineRule="auto"/>
        <w:ind w:firstLine="720"/>
        <w:jc w:val="both"/>
        <w:rPr>
          <w:rFonts w:ascii="Arial" w:eastAsia="Times New Roman" w:hAnsi="Arial" w:cs="Arial"/>
          <w:lang w:eastAsia="en-IN"/>
        </w:rPr>
      </w:pPr>
      <w:r w:rsidRPr="000C5524">
        <w:rPr>
          <w:rFonts w:ascii="Arial" w:eastAsia="Times New Roman" w:hAnsi="Arial" w:cs="Arial"/>
          <w:lang w:eastAsia="en-IN"/>
        </w:rPr>
        <w:t>The challenge balanced protecting margins, retaining upside exposure, and minimizing operational complexity. This evolving hedging framework reinforced managerial confidence, stabilized cash flows, and institutionalized risk-awareness in decision processes.</w:t>
      </w:r>
    </w:p>
    <w:p w:rsidR="00877B0F" w:rsidRPr="000C5524" w:rsidRDefault="00877B0F" w:rsidP="000C5524">
      <w:pPr>
        <w:spacing w:after="120" w:line="276" w:lineRule="auto"/>
        <w:jc w:val="center"/>
        <w:outlineLvl w:val="1"/>
        <w:rPr>
          <w:rFonts w:ascii="Arial" w:eastAsia="Times New Roman" w:hAnsi="Arial" w:cs="Arial"/>
          <w:b/>
          <w:bCs/>
          <w:caps/>
          <w:lang w:eastAsia="en-IN"/>
        </w:rPr>
      </w:pPr>
      <w:r w:rsidRPr="000C5524">
        <w:rPr>
          <w:rFonts w:ascii="Arial" w:eastAsia="Times New Roman" w:hAnsi="Arial" w:cs="Arial"/>
          <w:b/>
          <w:bCs/>
          <w:caps/>
          <w:lang w:eastAsia="en-IN"/>
        </w:rPr>
        <w:t>About the Industry</w:t>
      </w:r>
    </w:p>
    <w:p w:rsidR="00877B0F" w:rsidRPr="000C5524" w:rsidRDefault="00877B0F" w:rsidP="000C5524">
      <w:pPr>
        <w:spacing w:after="120" w:line="276" w:lineRule="auto"/>
        <w:ind w:firstLine="720"/>
        <w:jc w:val="both"/>
        <w:rPr>
          <w:rFonts w:ascii="Arial" w:eastAsia="Times New Roman" w:hAnsi="Arial" w:cs="Arial"/>
          <w:lang w:eastAsia="en-IN"/>
        </w:rPr>
      </w:pPr>
      <w:r w:rsidRPr="000C5524">
        <w:rPr>
          <w:rFonts w:ascii="Arial" w:eastAsia="Times New Roman" w:hAnsi="Arial" w:cs="Arial"/>
          <w:lang w:eastAsia="en-IN"/>
        </w:rPr>
        <w:t xml:space="preserve">In the contemporary global trade ecosystem, exporters navigate an intricate confluence of trade finance mechanisms, volatile FX markets, and stringent central </w:t>
      </w:r>
      <w:r w:rsidRPr="000C5524">
        <w:rPr>
          <w:rFonts w:ascii="Arial" w:eastAsia="Times New Roman" w:hAnsi="Arial" w:cs="Arial"/>
          <w:lang w:eastAsia="en-IN"/>
        </w:rPr>
        <w:lastRenderedPageBreak/>
        <w:t>bank regulations. Empirical data consistently show that many emerging market economy exporters under-hedge exposures due to cost concerns, complexity perceptions, and cognitive biases like optimism.</w:t>
      </w:r>
    </w:p>
    <w:p w:rsidR="00877B0F" w:rsidRPr="000C5524" w:rsidRDefault="00877B0F" w:rsidP="000C5524">
      <w:pPr>
        <w:spacing w:after="120" w:line="276" w:lineRule="auto"/>
        <w:ind w:firstLine="720"/>
        <w:jc w:val="both"/>
        <w:rPr>
          <w:rFonts w:ascii="Arial" w:eastAsia="Times New Roman" w:hAnsi="Arial" w:cs="Arial"/>
          <w:lang w:eastAsia="en-IN"/>
        </w:rPr>
      </w:pPr>
      <w:r w:rsidRPr="000C5524">
        <w:rPr>
          <w:rFonts w:ascii="Arial" w:eastAsia="Times New Roman" w:hAnsi="Arial" w:cs="Arial"/>
          <w:lang w:eastAsia="en-IN"/>
        </w:rPr>
        <w:t>Market guidance from international bodies such as the Bank for International Settlements (BIS) emphasizes structured hedging mandates, policy clarity, and exposure quantification to balance risk reduction with economic efficiency. Simultaneously, central banks like the RBI promulgate master directions governing counterparty risk, permissible derivative instruments, and disclosure norms, fostering standardized hedging ecosystems.</w:t>
      </w:r>
    </w:p>
    <w:p w:rsidR="00877B0F" w:rsidRPr="000C5524" w:rsidRDefault="00877B0F" w:rsidP="000C5524">
      <w:pPr>
        <w:spacing w:after="120" w:line="276" w:lineRule="auto"/>
        <w:ind w:firstLine="720"/>
        <w:jc w:val="both"/>
        <w:rPr>
          <w:rFonts w:ascii="Arial" w:eastAsia="Times New Roman" w:hAnsi="Arial" w:cs="Arial"/>
          <w:lang w:eastAsia="en-IN"/>
        </w:rPr>
      </w:pPr>
      <w:r w:rsidRPr="000C5524">
        <w:rPr>
          <w:rFonts w:ascii="Arial" w:eastAsia="Times New Roman" w:hAnsi="Arial" w:cs="Arial"/>
          <w:lang w:eastAsia="en-IN"/>
        </w:rPr>
        <w:t>Derivatives education prioritizes complementing tenors to receivables, assessing option premiums relative to risk tolerance, and adapting strategies to nuanced market flows. These frameworks underpin a growing propensity for MSMEs and corporate exporters to adopt automated and disciplined hedging while avoiding complex or opaque financial structures.</w:t>
      </w:r>
    </w:p>
    <w:p w:rsidR="00877B0F" w:rsidRPr="000C5524" w:rsidRDefault="00877B0F" w:rsidP="000C5524">
      <w:pPr>
        <w:spacing w:after="120" w:line="276" w:lineRule="auto"/>
        <w:jc w:val="both"/>
        <w:outlineLvl w:val="1"/>
        <w:rPr>
          <w:rFonts w:ascii="Arial" w:eastAsia="Times New Roman" w:hAnsi="Arial" w:cs="Arial"/>
          <w:b/>
          <w:bCs/>
          <w:lang w:eastAsia="en-IN"/>
        </w:rPr>
      </w:pPr>
      <w:r w:rsidRPr="000C5524">
        <w:rPr>
          <w:rFonts w:ascii="Arial" w:eastAsia="Times New Roman" w:hAnsi="Arial" w:cs="Arial"/>
          <w:b/>
          <w:bCs/>
          <w:lang w:eastAsia="en-IN"/>
        </w:rPr>
        <w:t>Problems Faced by the Industry</w:t>
      </w:r>
    </w:p>
    <w:p w:rsidR="00877B0F" w:rsidRPr="000C5524" w:rsidRDefault="00877B0F" w:rsidP="000C5524">
      <w:pPr>
        <w:spacing w:after="120" w:line="276" w:lineRule="auto"/>
        <w:ind w:firstLine="360"/>
        <w:jc w:val="both"/>
        <w:rPr>
          <w:rFonts w:ascii="Arial" w:eastAsia="Times New Roman" w:hAnsi="Arial" w:cs="Arial"/>
          <w:lang w:eastAsia="en-IN"/>
        </w:rPr>
      </w:pPr>
      <w:r w:rsidRPr="000C5524">
        <w:rPr>
          <w:rFonts w:ascii="Arial" w:eastAsia="Times New Roman" w:hAnsi="Arial" w:cs="Arial"/>
          <w:lang w:eastAsia="en-IN"/>
        </w:rPr>
        <w:t>The export sector faces several systemic barriers inhibiting effective risk management:</w:t>
      </w:r>
    </w:p>
    <w:p w:rsidR="00877B0F" w:rsidRPr="000C5524" w:rsidRDefault="00877B0F" w:rsidP="000C5524">
      <w:pPr>
        <w:numPr>
          <w:ilvl w:val="0"/>
          <w:numId w:val="22"/>
        </w:numPr>
        <w:spacing w:after="120" w:line="276" w:lineRule="auto"/>
        <w:jc w:val="both"/>
        <w:rPr>
          <w:rFonts w:ascii="Arial" w:eastAsia="Times New Roman" w:hAnsi="Arial" w:cs="Arial"/>
          <w:lang w:eastAsia="en-IN"/>
        </w:rPr>
      </w:pPr>
      <w:r w:rsidRPr="000C5524">
        <w:rPr>
          <w:rFonts w:ascii="Arial" w:eastAsia="Times New Roman" w:hAnsi="Arial" w:cs="Arial"/>
          <w:lang w:eastAsia="en-IN"/>
        </w:rPr>
        <w:t>Limited hedging awareness among MSMEs, leading to exposure underestimation.</w:t>
      </w:r>
    </w:p>
    <w:p w:rsidR="00877B0F" w:rsidRPr="000C5524" w:rsidRDefault="00877B0F" w:rsidP="000C5524">
      <w:pPr>
        <w:numPr>
          <w:ilvl w:val="0"/>
          <w:numId w:val="22"/>
        </w:numPr>
        <w:spacing w:after="120" w:line="276" w:lineRule="auto"/>
        <w:jc w:val="both"/>
        <w:rPr>
          <w:rFonts w:ascii="Arial" w:eastAsia="Times New Roman" w:hAnsi="Arial" w:cs="Arial"/>
          <w:lang w:eastAsia="en-IN"/>
        </w:rPr>
      </w:pPr>
      <w:proofErr w:type="spellStart"/>
      <w:r w:rsidRPr="000C5524">
        <w:rPr>
          <w:rFonts w:ascii="Arial" w:eastAsia="Times New Roman" w:hAnsi="Arial" w:cs="Arial"/>
          <w:lang w:eastAsia="en-IN"/>
        </w:rPr>
        <w:t>Behavioral</w:t>
      </w:r>
      <w:proofErr w:type="spellEnd"/>
      <w:r w:rsidRPr="000C5524">
        <w:rPr>
          <w:rFonts w:ascii="Arial" w:eastAsia="Times New Roman" w:hAnsi="Arial" w:cs="Arial"/>
          <w:lang w:eastAsia="en-IN"/>
        </w:rPr>
        <w:t xml:space="preserve"> friction from fear of missing </w:t>
      </w:r>
      <w:proofErr w:type="spellStart"/>
      <w:r w:rsidRPr="000C5524">
        <w:rPr>
          <w:rFonts w:ascii="Arial" w:eastAsia="Times New Roman" w:hAnsi="Arial" w:cs="Arial"/>
          <w:lang w:eastAsia="en-IN"/>
        </w:rPr>
        <w:t>favorable</w:t>
      </w:r>
      <w:proofErr w:type="spellEnd"/>
      <w:r w:rsidRPr="000C5524">
        <w:rPr>
          <w:rFonts w:ascii="Arial" w:eastAsia="Times New Roman" w:hAnsi="Arial" w:cs="Arial"/>
          <w:lang w:eastAsia="en-IN"/>
        </w:rPr>
        <w:t xml:space="preserve"> currency movements or derivative complexity.</w:t>
      </w:r>
    </w:p>
    <w:p w:rsidR="00877B0F" w:rsidRPr="000C5524" w:rsidRDefault="00877B0F" w:rsidP="000C5524">
      <w:pPr>
        <w:numPr>
          <w:ilvl w:val="0"/>
          <w:numId w:val="22"/>
        </w:numPr>
        <w:spacing w:after="120" w:line="276" w:lineRule="auto"/>
        <w:jc w:val="both"/>
        <w:rPr>
          <w:rFonts w:ascii="Arial" w:eastAsia="Times New Roman" w:hAnsi="Arial" w:cs="Arial"/>
          <w:lang w:eastAsia="en-IN"/>
        </w:rPr>
      </w:pPr>
      <w:r w:rsidRPr="000C5524">
        <w:rPr>
          <w:rFonts w:ascii="Arial" w:eastAsia="Times New Roman" w:hAnsi="Arial" w:cs="Arial"/>
          <w:lang w:eastAsia="en-IN"/>
        </w:rPr>
        <w:t>Operational bandwidth constraints restricting hedging program scale.</w:t>
      </w:r>
    </w:p>
    <w:p w:rsidR="00877B0F" w:rsidRPr="000C5524" w:rsidRDefault="00877B0F" w:rsidP="000C5524">
      <w:pPr>
        <w:numPr>
          <w:ilvl w:val="0"/>
          <w:numId w:val="22"/>
        </w:numPr>
        <w:spacing w:after="120" w:line="276" w:lineRule="auto"/>
        <w:jc w:val="both"/>
        <w:rPr>
          <w:rFonts w:ascii="Arial" w:eastAsia="Times New Roman" w:hAnsi="Arial" w:cs="Arial"/>
          <w:lang w:eastAsia="en-IN"/>
        </w:rPr>
      </w:pPr>
      <w:r w:rsidRPr="000C5524">
        <w:rPr>
          <w:rFonts w:ascii="Arial" w:eastAsia="Times New Roman" w:hAnsi="Arial" w:cs="Arial"/>
          <w:lang w:eastAsia="en-IN"/>
        </w:rPr>
        <w:t>Volatility in macroeconomic and regulatory environments, requiring dynamic risk frameworks.</w:t>
      </w:r>
    </w:p>
    <w:p w:rsidR="00877B0F" w:rsidRPr="000C5524" w:rsidRDefault="00877B0F" w:rsidP="000C5524">
      <w:pPr>
        <w:numPr>
          <w:ilvl w:val="0"/>
          <w:numId w:val="22"/>
        </w:numPr>
        <w:spacing w:after="120" w:line="276" w:lineRule="auto"/>
        <w:jc w:val="both"/>
        <w:rPr>
          <w:rFonts w:ascii="Arial" w:eastAsia="Times New Roman" w:hAnsi="Arial" w:cs="Arial"/>
          <w:lang w:eastAsia="en-IN"/>
        </w:rPr>
      </w:pPr>
      <w:r w:rsidRPr="000C5524">
        <w:rPr>
          <w:rFonts w:ascii="Arial" w:eastAsia="Times New Roman" w:hAnsi="Arial" w:cs="Arial"/>
          <w:lang w:eastAsia="en-IN"/>
        </w:rPr>
        <w:t>Fragmented digital tooling and data visibility complicating exposure measurement and contract coverage verification.</w:t>
      </w:r>
    </w:p>
    <w:p w:rsidR="00877B0F" w:rsidRPr="000C5524" w:rsidRDefault="00877B0F" w:rsidP="000C5524">
      <w:pPr>
        <w:spacing w:after="120" w:line="276" w:lineRule="auto"/>
        <w:ind w:firstLine="720"/>
        <w:jc w:val="both"/>
        <w:rPr>
          <w:rFonts w:ascii="Arial" w:eastAsia="Times New Roman" w:hAnsi="Arial" w:cs="Arial"/>
          <w:lang w:eastAsia="en-IN"/>
        </w:rPr>
      </w:pPr>
      <w:r w:rsidRPr="000C5524">
        <w:rPr>
          <w:rFonts w:ascii="Arial" w:eastAsia="Times New Roman" w:hAnsi="Arial" w:cs="Arial"/>
          <w:lang w:eastAsia="en-IN"/>
        </w:rPr>
        <w:t>Research and supervisory guidance coalesce around advocating simplified policy frameworks, documentary governance, and structured education initiatives to overcome adoption inertia.</w:t>
      </w:r>
    </w:p>
    <w:p w:rsidR="00877B0F" w:rsidRPr="000C5524" w:rsidRDefault="00877B0F" w:rsidP="000C5524">
      <w:pPr>
        <w:spacing w:after="120" w:line="276" w:lineRule="auto"/>
        <w:jc w:val="center"/>
        <w:outlineLvl w:val="1"/>
        <w:rPr>
          <w:rFonts w:ascii="Arial" w:eastAsia="Times New Roman" w:hAnsi="Arial" w:cs="Arial"/>
          <w:b/>
          <w:bCs/>
          <w:caps/>
          <w:lang w:eastAsia="en-IN"/>
        </w:rPr>
      </w:pPr>
      <w:r w:rsidRPr="000C5524">
        <w:rPr>
          <w:rFonts w:ascii="Arial" w:eastAsia="Times New Roman" w:hAnsi="Arial" w:cs="Arial"/>
          <w:b/>
          <w:bCs/>
          <w:caps/>
          <w:lang w:eastAsia="en-IN"/>
        </w:rPr>
        <w:t>About the Company</w:t>
      </w:r>
    </w:p>
    <w:p w:rsidR="00877B0F" w:rsidRPr="000C5524" w:rsidRDefault="00877B0F" w:rsidP="000C5524">
      <w:pPr>
        <w:spacing w:after="120" w:line="276" w:lineRule="auto"/>
        <w:ind w:firstLine="720"/>
        <w:jc w:val="both"/>
        <w:rPr>
          <w:rFonts w:ascii="Arial" w:eastAsia="Times New Roman" w:hAnsi="Arial" w:cs="Arial"/>
          <w:lang w:eastAsia="en-IN"/>
        </w:rPr>
      </w:pPr>
      <w:r w:rsidRPr="000C5524">
        <w:rPr>
          <w:rFonts w:ascii="Arial" w:eastAsia="Times New Roman" w:hAnsi="Arial" w:cs="Arial"/>
          <w:lang w:eastAsia="en-IN"/>
        </w:rPr>
        <w:t>Growth Arrow LLP acts as a specialized advisory partner to MSME exporters, blending pragmatic education with implementation-driven financial risk management. Within its client portfolio, it engaged a D2C exporter characterized by rapid growth and escalating FX exposure risk.</w:t>
      </w:r>
    </w:p>
    <w:p w:rsidR="00877B0F" w:rsidRPr="000C5524" w:rsidRDefault="00877B0F" w:rsidP="000C5524">
      <w:pPr>
        <w:spacing w:after="120" w:line="276" w:lineRule="auto"/>
        <w:ind w:firstLine="720"/>
        <w:jc w:val="both"/>
        <w:rPr>
          <w:rFonts w:ascii="Arial" w:eastAsia="Times New Roman" w:hAnsi="Arial" w:cs="Arial"/>
          <w:lang w:eastAsia="en-IN"/>
        </w:rPr>
      </w:pPr>
      <w:r w:rsidRPr="000C5524">
        <w:rPr>
          <w:rFonts w:ascii="Arial" w:eastAsia="Times New Roman" w:hAnsi="Arial" w:cs="Arial"/>
          <w:lang w:eastAsia="en-IN"/>
        </w:rPr>
        <w:t>The firm implemented a phased policy blending forward contract baselines with options for outsized invoices, complemented by a lightweight yet robust Excel/API-based dashboard for exposure tracking, mark-to-market (MTM) valuations, and hedge coverage visualization. This combination enabled monthly portfolio reviews framed around risk manager-style client engagements.</w:t>
      </w:r>
    </w:p>
    <w:p w:rsidR="00877B0F" w:rsidRPr="000C5524" w:rsidRDefault="00877B0F" w:rsidP="000C5524">
      <w:pPr>
        <w:spacing w:after="120" w:line="276" w:lineRule="auto"/>
        <w:ind w:firstLine="720"/>
        <w:jc w:val="both"/>
        <w:rPr>
          <w:rFonts w:ascii="Arial" w:eastAsia="Times New Roman" w:hAnsi="Arial" w:cs="Arial"/>
          <w:lang w:eastAsia="en-IN"/>
        </w:rPr>
      </w:pPr>
      <w:r w:rsidRPr="000C5524">
        <w:rPr>
          <w:rFonts w:ascii="Arial" w:eastAsia="Times New Roman" w:hAnsi="Arial" w:cs="Arial"/>
          <w:lang w:eastAsia="en-IN"/>
        </w:rPr>
        <w:t>To mitigate trader and managerial resistance, Growth Arrow developed a suite of explainers, term-sheet libraries, renewal calendars, and governance artifacts aligned with RBI compliance, streamlining adoption and reinforcing institutional risk discipline.</w:t>
      </w:r>
    </w:p>
    <w:p w:rsidR="00877B0F" w:rsidRPr="000C5524" w:rsidRDefault="00877B0F" w:rsidP="000C5524">
      <w:pPr>
        <w:spacing w:after="120" w:line="276" w:lineRule="auto"/>
        <w:jc w:val="both"/>
        <w:outlineLvl w:val="1"/>
        <w:rPr>
          <w:rFonts w:ascii="Arial" w:eastAsia="Times New Roman" w:hAnsi="Arial" w:cs="Arial"/>
          <w:b/>
          <w:bCs/>
          <w:lang w:eastAsia="en-IN"/>
        </w:rPr>
      </w:pPr>
      <w:r w:rsidRPr="000C5524">
        <w:rPr>
          <w:rFonts w:ascii="Arial" w:eastAsia="Times New Roman" w:hAnsi="Arial" w:cs="Arial"/>
          <w:b/>
          <w:bCs/>
          <w:lang w:eastAsia="en-IN"/>
        </w:rPr>
        <w:t>Problems Faced by the Company</w:t>
      </w:r>
    </w:p>
    <w:p w:rsidR="00877B0F" w:rsidRPr="000C5524" w:rsidRDefault="00877B0F" w:rsidP="000C5524">
      <w:pPr>
        <w:spacing w:after="120" w:line="276" w:lineRule="auto"/>
        <w:ind w:firstLine="360"/>
        <w:jc w:val="both"/>
        <w:rPr>
          <w:rFonts w:ascii="Arial" w:eastAsia="Times New Roman" w:hAnsi="Arial" w:cs="Arial"/>
          <w:lang w:eastAsia="en-IN"/>
        </w:rPr>
      </w:pPr>
      <w:r w:rsidRPr="000C5524">
        <w:rPr>
          <w:rFonts w:ascii="Arial" w:eastAsia="Times New Roman" w:hAnsi="Arial" w:cs="Arial"/>
          <w:lang w:eastAsia="en-IN"/>
        </w:rPr>
        <w:t>The client faced internal challenges including:</w:t>
      </w:r>
    </w:p>
    <w:p w:rsidR="00877B0F" w:rsidRPr="000C5524" w:rsidRDefault="00877B0F" w:rsidP="000C5524">
      <w:pPr>
        <w:numPr>
          <w:ilvl w:val="0"/>
          <w:numId w:val="23"/>
        </w:numPr>
        <w:spacing w:after="120" w:line="276" w:lineRule="auto"/>
        <w:jc w:val="both"/>
        <w:rPr>
          <w:rFonts w:ascii="Arial" w:eastAsia="Times New Roman" w:hAnsi="Arial" w:cs="Arial"/>
          <w:lang w:eastAsia="en-IN"/>
        </w:rPr>
      </w:pPr>
      <w:r w:rsidRPr="000C5524">
        <w:rPr>
          <w:rFonts w:ascii="Arial" w:eastAsia="Times New Roman" w:hAnsi="Arial" w:cs="Arial"/>
          <w:lang w:eastAsia="en-IN"/>
        </w:rPr>
        <w:t>Resistance to forward contracts and option use rooted in misconceptions about complexity and fees.</w:t>
      </w:r>
    </w:p>
    <w:p w:rsidR="00877B0F" w:rsidRPr="000C5524" w:rsidRDefault="00877B0F" w:rsidP="000C5524">
      <w:pPr>
        <w:numPr>
          <w:ilvl w:val="0"/>
          <w:numId w:val="23"/>
        </w:numPr>
        <w:spacing w:after="120" w:line="276" w:lineRule="auto"/>
        <w:jc w:val="both"/>
        <w:rPr>
          <w:rFonts w:ascii="Arial" w:eastAsia="Times New Roman" w:hAnsi="Arial" w:cs="Arial"/>
          <w:lang w:eastAsia="en-IN"/>
        </w:rPr>
      </w:pPr>
      <w:r w:rsidRPr="000C5524">
        <w:rPr>
          <w:rFonts w:ascii="Arial" w:eastAsia="Times New Roman" w:hAnsi="Arial" w:cs="Arial"/>
          <w:lang w:eastAsia="en-IN"/>
        </w:rPr>
        <w:lastRenderedPageBreak/>
        <w:t>Absence of systematic exposure measurement and reporting, leading to ad-hoc decision-making.</w:t>
      </w:r>
    </w:p>
    <w:p w:rsidR="00877B0F" w:rsidRPr="000C5524" w:rsidRDefault="00877B0F" w:rsidP="000C5524">
      <w:pPr>
        <w:numPr>
          <w:ilvl w:val="0"/>
          <w:numId w:val="23"/>
        </w:numPr>
        <w:spacing w:after="120" w:line="276" w:lineRule="auto"/>
        <w:jc w:val="both"/>
        <w:rPr>
          <w:rFonts w:ascii="Arial" w:eastAsia="Times New Roman" w:hAnsi="Arial" w:cs="Arial"/>
          <w:lang w:eastAsia="en-IN"/>
        </w:rPr>
      </w:pPr>
      <w:r w:rsidRPr="000C5524">
        <w:rPr>
          <w:rFonts w:ascii="Arial" w:eastAsia="Times New Roman" w:hAnsi="Arial" w:cs="Arial"/>
          <w:lang w:eastAsia="en-IN"/>
        </w:rPr>
        <w:t>Margin erosion from rapid INR appreciation without protective hedging.</w:t>
      </w:r>
    </w:p>
    <w:p w:rsidR="00877B0F" w:rsidRPr="000C5524" w:rsidRDefault="00877B0F" w:rsidP="000C5524">
      <w:pPr>
        <w:numPr>
          <w:ilvl w:val="0"/>
          <w:numId w:val="23"/>
        </w:numPr>
        <w:spacing w:after="120" w:line="276" w:lineRule="auto"/>
        <w:jc w:val="both"/>
        <w:rPr>
          <w:rFonts w:ascii="Arial" w:eastAsia="Times New Roman" w:hAnsi="Arial" w:cs="Arial"/>
          <w:lang w:eastAsia="en-IN"/>
        </w:rPr>
      </w:pPr>
      <w:r w:rsidRPr="000C5524">
        <w:rPr>
          <w:rFonts w:ascii="Arial" w:eastAsia="Times New Roman" w:hAnsi="Arial" w:cs="Arial"/>
          <w:lang w:eastAsia="en-IN"/>
        </w:rPr>
        <w:t>Forecasting credibility and client confidence erosion due to unpredictable cash flows.</w:t>
      </w:r>
    </w:p>
    <w:p w:rsidR="00877B0F" w:rsidRPr="000C5524" w:rsidRDefault="00877B0F" w:rsidP="000C5524">
      <w:pPr>
        <w:spacing w:after="120" w:line="276" w:lineRule="auto"/>
        <w:ind w:firstLine="720"/>
        <w:jc w:val="both"/>
        <w:rPr>
          <w:rFonts w:ascii="Arial" w:eastAsia="Times New Roman" w:hAnsi="Arial" w:cs="Arial"/>
          <w:lang w:eastAsia="en-IN"/>
        </w:rPr>
      </w:pPr>
      <w:r w:rsidRPr="000C5524">
        <w:rPr>
          <w:rFonts w:ascii="Arial" w:eastAsia="Times New Roman" w:hAnsi="Arial" w:cs="Arial"/>
          <w:lang w:eastAsia="en-IN"/>
        </w:rPr>
        <w:t>Growth Arrow introduced a disciplined phased coverage approach that addressed these pain points while applying rigorous compliance controls on counterparty vetting, documentation, and portfolio limits, consistent with RBI guidance.</w:t>
      </w:r>
    </w:p>
    <w:p w:rsidR="00877B0F" w:rsidRPr="000C5524" w:rsidRDefault="00877B0F" w:rsidP="000C5524">
      <w:pPr>
        <w:spacing w:after="120" w:line="276" w:lineRule="auto"/>
        <w:jc w:val="both"/>
        <w:outlineLvl w:val="1"/>
        <w:rPr>
          <w:rFonts w:ascii="Arial" w:eastAsia="Times New Roman" w:hAnsi="Arial" w:cs="Arial"/>
          <w:b/>
          <w:bCs/>
          <w:lang w:eastAsia="en-IN"/>
        </w:rPr>
      </w:pPr>
      <w:r w:rsidRPr="000C5524">
        <w:rPr>
          <w:rFonts w:ascii="Arial" w:eastAsia="Times New Roman" w:hAnsi="Arial" w:cs="Arial"/>
          <w:b/>
          <w:bCs/>
          <w:lang w:eastAsia="en-IN"/>
        </w:rPr>
        <w:t>Academic Learning</w:t>
      </w:r>
    </w:p>
    <w:p w:rsidR="00877B0F" w:rsidRPr="000C5524" w:rsidRDefault="00877B0F" w:rsidP="000C5524">
      <w:pPr>
        <w:spacing w:after="120" w:line="276" w:lineRule="auto"/>
        <w:ind w:firstLine="720"/>
        <w:jc w:val="both"/>
        <w:rPr>
          <w:rFonts w:ascii="Arial" w:eastAsia="Times New Roman" w:hAnsi="Arial" w:cs="Arial"/>
          <w:lang w:eastAsia="en-IN"/>
        </w:rPr>
      </w:pPr>
      <w:r w:rsidRPr="000C5524">
        <w:rPr>
          <w:rFonts w:ascii="Arial" w:eastAsia="Times New Roman" w:hAnsi="Arial" w:cs="Arial"/>
          <w:lang w:eastAsia="en-IN"/>
        </w:rPr>
        <w:t>Students engage with real-world complexities balancing financial risk management with operational practicality. They:</w:t>
      </w:r>
    </w:p>
    <w:p w:rsidR="00877B0F" w:rsidRPr="000C5524" w:rsidRDefault="00877B0F" w:rsidP="000C5524">
      <w:pPr>
        <w:numPr>
          <w:ilvl w:val="0"/>
          <w:numId w:val="24"/>
        </w:numPr>
        <w:spacing w:after="120" w:line="276" w:lineRule="auto"/>
        <w:jc w:val="both"/>
        <w:rPr>
          <w:rFonts w:ascii="Arial" w:eastAsia="Times New Roman" w:hAnsi="Arial" w:cs="Arial"/>
          <w:lang w:eastAsia="en-IN"/>
        </w:rPr>
      </w:pPr>
      <w:r w:rsidRPr="000C5524">
        <w:rPr>
          <w:rFonts w:ascii="Arial" w:eastAsia="Times New Roman" w:hAnsi="Arial" w:cs="Arial"/>
          <w:lang w:eastAsia="en-IN"/>
        </w:rPr>
        <w:t>Develop exposure measurement frameworks tied to export invoicing and receivables.</w:t>
      </w:r>
    </w:p>
    <w:p w:rsidR="00877B0F" w:rsidRPr="000C5524" w:rsidRDefault="00877B0F" w:rsidP="000C5524">
      <w:pPr>
        <w:numPr>
          <w:ilvl w:val="0"/>
          <w:numId w:val="24"/>
        </w:numPr>
        <w:spacing w:after="120" w:line="276" w:lineRule="auto"/>
        <w:jc w:val="both"/>
        <w:rPr>
          <w:rFonts w:ascii="Arial" w:eastAsia="Times New Roman" w:hAnsi="Arial" w:cs="Arial"/>
          <w:lang w:eastAsia="en-IN"/>
        </w:rPr>
      </w:pPr>
      <w:r w:rsidRPr="000C5524">
        <w:rPr>
          <w:rFonts w:ascii="Arial" w:eastAsia="Times New Roman" w:hAnsi="Arial" w:cs="Arial"/>
          <w:lang w:eastAsia="en-IN"/>
        </w:rPr>
        <w:t>Design phased hedging policies combining forwards and options matched to transaction profiles.</w:t>
      </w:r>
    </w:p>
    <w:p w:rsidR="00877B0F" w:rsidRPr="000C5524" w:rsidRDefault="00877B0F" w:rsidP="000C5524">
      <w:pPr>
        <w:numPr>
          <w:ilvl w:val="0"/>
          <w:numId w:val="24"/>
        </w:numPr>
        <w:spacing w:after="120" w:line="276" w:lineRule="auto"/>
        <w:jc w:val="both"/>
        <w:rPr>
          <w:rFonts w:ascii="Arial" w:eastAsia="Times New Roman" w:hAnsi="Arial" w:cs="Arial"/>
          <w:lang w:eastAsia="en-IN"/>
        </w:rPr>
      </w:pPr>
      <w:r w:rsidRPr="000C5524">
        <w:rPr>
          <w:rFonts w:ascii="Arial" w:eastAsia="Times New Roman" w:hAnsi="Arial" w:cs="Arial"/>
          <w:lang w:eastAsia="en-IN"/>
        </w:rPr>
        <w:t xml:space="preserve">Build </w:t>
      </w:r>
      <w:proofErr w:type="spellStart"/>
      <w:r w:rsidRPr="000C5524">
        <w:rPr>
          <w:rFonts w:ascii="Arial" w:eastAsia="Times New Roman" w:hAnsi="Arial" w:cs="Arial"/>
          <w:lang w:eastAsia="en-IN"/>
        </w:rPr>
        <w:t>behavioral</w:t>
      </w:r>
      <w:proofErr w:type="spellEnd"/>
      <w:r w:rsidRPr="000C5524">
        <w:rPr>
          <w:rFonts w:ascii="Arial" w:eastAsia="Times New Roman" w:hAnsi="Arial" w:cs="Arial"/>
          <w:lang w:eastAsia="en-IN"/>
        </w:rPr>
        <w:t xml:space="preserve"> adoption strategies integrating educational content and governance artifacts to tackle resistance.</w:t>
      </w:r>
    </w:p>
    <w:p w:rsidR="00877B0F" w:rsidRPr="000C5524" w:rsidRDefault="00877B0F" w:rsidP="000C5524">
      <w:pPr>
        <w:numPr>
          <w:ilvl w:val="0"/>
          <w:numId w:val="24"/>
        </w:numPr>
        <w:spacing w:after="120" w:line="276" w:lineRule="auto"/>
        <w:jc w:val="both"/>
        <w:rPr>
          <w:rFonts w:ascii="Arial" w:eastAsia="Times New Roman" w:hAnsi="Arial" w:cs="Arial"/>
          <w:lang w:eastAsia="en-IN"/>
        </w:rPr>
      </w:pPr>
      <w:r w:rsidRPr="000C5524">
        <w:rPr>
          <w:rFonts w:ascii="Arial" w:eastAsia="Times New Roman" w:hAnsi="Arial" w:cs="Arial"/>
          <w:lang w:eastAsia="en-IN"/>
        </w:rPr>
        <w:t>Construct operational dashboards visualizing exposures, MTM positions, and hedge effectiveness.</w:t>
      </w:r>
    </w:p>
    <w:p w:rsidR="00877B0F" w:rsidRPr="000C5524" w:rsidRDefault="00877B0F" w:rsidP="000C5524">
      <w:pPr>
        <w:numPr>
          <w:ilvl w:val="0"/>
          <w:numId w:val="24"/>
        </w:numPr>
        <w:spacing w:after="120" w:line="276" w:lineRule="auto"/>
        <w:jc w:val="both"/>
        <w:rPr>
          <w:rFonts w:ascii="Arial" w:eastAsia="Times New Roman" w:hAnsi="Arial" w:cs="Arial"/>
          <w:lang w:eastAsia="en-IN"/>
        </w:rPr>
      </w:pPr>
      <w:r w:rsidRPr="000C5524">
        <w:rPr>
          <w:rFonts w:ascii="Arial" w:eastAsia="Times New Roman" w:hAnsi="Arial" w:cs="Arial"/>
          <w:lang w:eastAsia="en-IN"/>
        </w:rPr>
        <w:t>Align policy and controls with RBI regulatory frameworks ensuring compliance and auditability.</w:t>
      </w:r>
    </w:p>
    <w:p w:rsidR="00877B0F" w:rsidRDefault="00877B0F" w:rsidP="000C5524">
      <w:pPr>
        <w:spacing w:after="120" w:line="276" w:lineRule="auto"/>
        <w:ind w:firstLine="720"/>
        <w:jc w:val="both"/>
        <w:rPr>
          <w:rFonts w:ascii="Arial" w:eastAsia="Times New Roman" w:hAnsi="Arial" w:cs="Arial"/>
          <w:lang w:eastAsia="en-IN"/>
        </w:rPr>
      </w:pPr>
      <w:r w:rsidRPr="000C5524">
        <w:rPr>
          <w:rFonts w:ascii="Arial" w:eastAsia="Times New Roman" w:hAnsi="Arial" w:cs="Arial"/>
          <w:lang w:eastAsia="en-IN"/>
        </w:rPr>
        <w:t>These exercises ground theoretical finance concepts into tangible, scalable MSME advisory solutions.</w:t>
      </w:r>
    </w:p>
    <w:p w:rsidR="000C5524" w:rsidRDefault="000C5524" w:rsidP="000C5524">
      <w:pPr>
        <w:spacing w:after="120" w:line="276" w:lineRule="auto"/>
        <w:ind w:firstLine="720"/>
        <w:jc w:val="both"/>
        <w:rPr>
          <w:rFonts w:ascii="Arial" w:eastAsia="Times New Roman" w:hAnsi="Arial" w:cs="Arial"/>
          <w:lang w:eastAsia="en-IN"/>
        </w:rPr>
      </w:pPr>
    </w:p>
    <w:p w:rsidR="000C5524" w:rsidRPr="000C5524" w:rsidRDefault="000C5524" w:rsidP="000C5524">
      <w:pPr>
        <w:spacing w:after="120" w:line="276" w:lineRule="auto"/>
        <w:ind w:firstLine="720"/>
        <w:jc w:val="both"/>
        <w:rPr>
          <w:rFonts w:ascii="Arial" w:eastAsia="Times New Roman" w:hAnsi="Arial" w:cs="Arial"/>
          <w:lang w:eastAsia="en-IN"/>
        </w:rPr>
      </w:pPr>
    </w:p>
    <w:p w:rsidR="00877B0F" w:rsidRPr="000C5524" w:rsidRDefault="00877B0F" w:rsidP="000C5524">
      <w:pPr>
        <w:spacing w:after="120" w:line="276" w:lineRule="auto"/>
        <w:jc w:val="center"/>
        <w:outlineLvl w:val="1"/>
        <w:rPr>
          <w:rFonts w:ascii="Arial" w:eastAsia="Times New Roman" w:hAnsi="Arial" w:cs="Arial"/>
          <w:b/>
          <w:bCs/>
          <w:caps/>
          <w:lang w:eastAsia="en-IN"/>
        </w:rPr>
      </w:pPr>
      <w:r w:rsidRPr="000C5524">
        <w:rPr>
          <w:rFonts w:ascii="Arial" w:eastAsia="Times New Roman" w:hAnsi="Arial" w:cs="Arial"/>
          <w:b/>
          <w:bCs/>
          <w:caps/>
          <w:lang w:eastAsia="en-IN"/>
        </w:rPr>
        <w:t>Conclusion</w:t>
      </w:r>
    </w:p>
    <w:p w:rsidR="00877B0F" w:rsidRPr="000C5524" w:rsidRDefault="00877B0F" w:rsidP="000C5524">
      <w:pPr>
        <w:spacing w:after="120" w:line="276" w:lineRule="auto"/>
        <w:ind w:firstLine="720"/>
        <w:jc w:val="both"/>
        <w:rPr>
          <w:rFonts w:ascii="Arial" w:eastAsia="Times New Roman" w:hAnsi="Arial" w:cs="Arial"/>
          <w:lang w:eastAsia="en-IN"/>
        </w:rPr>
      </w:pPr>
      <w:r w:rsidRPr="000C5524">
        <w:rPr>
          <w:rFonts w:ascii="Arial" w:eastAsia="Times New Roman" w:hAnsi="Arial" w:cs="Arial"/>
          <w:lang w:eastAsia="en-IN"/>
        </w:rPr>
        <w:t xml:space="preserve">This case underscores hedging as a cornerstone of governance stabilizing foreign exchange risks for MSME exporters. Growth Arrow LLP’s phased playbook demonstrates that intelligent, simple coverage augmented with </w:t>
      </w:r>
      <w:proofErr w:type="spellStart"/>
      <w:r w:rsidRPr="000C5524">
        <w:rPr>
          <w:rFonts w:ascii="Arial" w:eastAsia="Times New Roman" w:hAnsi="Arial" w:cs="Arial"/>
          <w:lang w:eastAsia="en-IN"/>
        </w:rPr>
        <w:t>behavioral</w:t>
      </w:r>
      <w:proofErr w:type="spellEnd"/>
      <w:r w:rsidRPr="000C5524">
        <w:rPr>
          <w:rFonts w:ascii="Arial" w:eastAsia="Times New Roman" w:hAnsi="Arial" w:cs="Arial"/>
          <w:lang w:eastAsia="en-IN"/>
        </w:rPr>
        <w:t xml:space="preserve"> nudges can substantially reduce earnings volatility and improve planning confidence without overwhelming operational capacity. Strict adherence to RBI master directions preserves compliance and institutional trust.</w:t>
      </w:r>
    </w:p>
    <w:p w:rsidR="00877B0F" w:rsidRPr="000C5524" w:rsidRDefault="00877B0F" w:rsidP="000C5524">
      <w:pPr>
        <w:spacing w:after="120" w:line="276" w:lineRule="auto"/>
        <w:ind w:firstLine="720"/>
        <w:jc w:val="both"/>
        <w:rPr>
          <w:rFonts w:ascii="Arial" w:eastAsia="Times New Roman" w:hAnsi="Arial" w:cs="Arial"/>
          <w:lang w:eastAsia="en-IN"/>
        </w:rPr>
      </w:pPr>
      <w:r w:rsidRPr="000C5524">
        <w:rPr>
          <w:rFonts w:ascii="Arial" w:eastAsia="Times New Roman" w:hAnsi="Arial" w:cs="Arial"/>
          <w:lang w:eastAsia="en-IN"/>
        </w:rPr>
        <w:t>The model offers a blueprint for emerging exporters seeking to manage currency risks pragmatically while preserving growth upside in volatile markets.</w:t>
      </w:r>
    </w:p>
    <w:p w:rsidR="00877B0F" w:rsidRPr="000C5524" w:rsidRDefault="00877B0F" w:rsidP="000C5524">
      <w:pPr>
        <w:spacing w:after="120" w:line="276" w:lineRule="auto"/>
        <w:jc w:val="center"/>
        <w:outlineLvl w:val="1"/>
        <w:rPr>
          <w:rFonts w:ascii="Arial" w:eastAsia="Times New Roman" w:hAnsi="Arial" w:cs="Arial"/>
          <w:b/>
          <w:bCs/>
          <w:caps/>
          <w:lang w:eastAsia="en-IN"/>
        </w:rPr>
      </w:pPr>
      <w:r w:rsidRPr="000C5524">
        <w:rPr>
          <w:rFonts w:ascii="Arial" w:eastAsia="Times New Roman" w:hAnsi="Arial" w:cs="Arial"/>
          <w:b/>
          <w:bCs/>
          <w:caps/>
          <w:lang w:eastAsia="en-IN"/>
        </w:rPr>
        <w:t>Case Questions</w:t>
      </w:r>
    </w:p>
    <w:p w:rsidR="00877B0F" w:rsidRPr="000C5524" w:rsidRDefault="00877B0F" w:rsidP="000C5524">
      <w:pPr>
        <w:numPr>
          <w:ilvl w:val="0"/>
          <w:numId w:val="25"/>
        </w:numPr>
        <w:spacing w:after="120" w:line="276" w:lineRule="auto"/>
        <w:jc w:val="both"/>
        <w:rPr>
          <w:rFonts w:ascii="Arial" w:eastAsia="Times New Roman" w:hAnsi="Arial" w:cs="Arial"/>
          <w:lang w:eastAsia="en-IN"/>
        </w:rPr>
      </w:pPr>
      <w:r w:rsidRPr="000C5524">
        <w:rPr>
          <w:rFonts w:ascii="Arial" w:eastAsia="Times New Roman" w:hAnsi="Arial" w:cs="Arial"/>
          <w:lang w:eastAsia="en-IN"/>
        </w:rPr>
        <w:t>Draft a board-approved hedging policy: define scope, instrument selection, exposure limits, tenor matching, and documentation standards.</w:t>
      </w:r>
    </w:p>
    <w:p w:rsidR="00877B0F" w:rsidRPr="000C5524" w:rsidRDefault="00877B0F" w:rsidP="000C5524">
      <w:pPr>
        <w:numPr>
          <w:ilvl w:val="0"/>
          <w:numId w:val="25"/>
        </w:numPr>
        <w:spacing w:after="120" w:line="276" w:lineRule="auto"/>
        <w:jc w:val="both"/>
        <w:rPr>
          <w:rFonts w:ascii="Arial" w:eastAsia="Times New Roman" w:hAnsi="Arial" w:cs="Arial"/>
          <w:lang w:eastAsia="en-IN"/>
        </w:rPr>
      </w:pPr>
      <w:r w:rsidRPr="000C5524">
        <w:rPr>
          <w:rFonts w:ascii="Arial" w:eastAsia="Times New Roman" w:hAnsi="Arial" w:cs="Arial"/>
          <w:lang w:eastAsia="en-IN"/>
        </w:rPr>
        <w:t>Design an exposure dashboard: specify data inputs, MTM computations, alert thresholds, and review frequency.</w:t>
      </w:r>
    </w:p>
    <w:p w:rsidR="00877B0F" w:rsidRPr="000C5524" w:rsidRDefault="00877B0F" w:rsidP="000C5524">
      <w:pPr>
        <w:numPr>
          <w:ilvl w:val="0"/>
          <w:numId w:val="25"/>
        </w:numPr>
        <w:spacing w:after="120" w:line="276" w:lineRule="auto"/>
        <w:jc w:val="both"/>
        <w:rPr>
          <w:rFonts w:ascii="Arial" w:eastAsia="Times New Roman" w:hAnsi="Arial" w:cs="Arial"/>
          <w:lang w:eastAsia="en-IN"/>
        </w:rPr>
      </w:pPr>
      <w:r w:rsidRPr="000C5524">
        <w:rPr>
          <w:rFonts w:ascii="Arial" w:eastAsia="Times New Roman" w:hAnsi="Arial" w:cs="Arial"/>
          <w:lang w:eastAsia="en-IN"/>
        </w:rPr>
        <w:t>Compare strategies: forward only, options-augmented, and unhedged in terms of costs, risk mitigation, ease of adoption, and variance reduction.</w:t>
      </w:r>
    </w:p>
    <w:p w:rsidR="00877B0F" w:rsidRPr="000C5524" w:rsidRDefault="00877B0F" w:rsidP="000C5524">
      <w:pPr>
        <w:numPr>
          <w:ilvl w:val="0"/>
          <w:numId w:val="25"/>
        </w:numPr>
        <w:spacing w:after="120" w:line="276" w:lineRule="auto"/>
        <w:jc w:val="both"/>
        <w:rPr>
          <w:rFonts w:ascii="Arial" w:eastAsia="Times New Roman" w:hAnsi="Arial" w:cs="Arial"/>
          <w:lang w:eastAsia="en-IN"/>
        </w:rPr>
      </w:pPr>
      <w:r w:rsidRPr="000C5524">
        <w:rPr>
          <w:rFonts w:ascii="Arial" w:eastAsia="Times New Roman" w:hAnsi="Arial" w:cs="Arial"/>
          <w:lang w:eastAsia="en-IN"/>
        </w:rPr>
        <w:t>Outline RBI-aligned counterparty onboarding and documentation workflows, ensuring regulatory transparency and audit readiness.</w:t>
      </w:r>
    </w:p>
    <w:p w:rsidR="00877B0F" w:rsidRPr="000C5524" w:rsidRDefault="00877B0F" w:rsidP="000C5524">
      <w:pPr>
        <w:spacing w:after="120" w:line="276" w:lineRule="auto"/>
        <w:jc w:val="center"/>
        <w:outlineLvl w:val="1"/>
        <w:rPr>
          <w:rFonts w:ascii="Arial" w:eastAsia="Times New Roman" w:hAnsi="Arial" w:cs="Arial"/>
          <w:b/>
          <w:bCs/>
          <w:caps/>
          <w:lang w:eastAsia="en-IN"/>
        </w:rPr>
      </w:pPr>
      <w:r w:rsidRPr="000C5524">
        <w:rPr>
          <w:rFonts w:ascii="Arial" w:eastAsia="Times New Roman" w:hAnsi="Arial" w:cs="Arial"/>
          <w:b/>
          <w:bCs/>
          <w:caps/>
          <w:lang w:eastAsia="en-IN"/>
        </w:rPr>
        <w:t>References</w:t>
      </w:r>
    </w:p>
    <w:p w:rsidR="00877B0F" w:rsidRPr="000C5524" w:rsidRDefault="00877B0F" w:rsidP="000C5524">
      <w:pPr>
        <w:spacing w:after="120" w:line="276" w:lineRule="auto"/>
        <w:ind w:left="720" w:hanging="720"/>
        <w:jc w:val="both"/>
        <w:rPr>
          <w:rFonts w:ascii="Arial" w:eastAsia="Times New Roman" w:hAnsi="Arial" w:cs="Arial"/>
          <w:lang w:eastAsia="en-IN"/>
        </w:rPr>
      </w:pPr>
      <w:r w:rsidRPr="000C5524">
        <w:rPr>
          <w:rFonts w:ascii="Arial" w:eastAsia="Times New Roman" w:hAnsi="Arial" w:cs="Arial"/>
          <w:lang w:eastAsia="en-IN"/>
        </w:rPr>
        <w:t>Reserve Bank of India. (2024). Master Direction—Risk Management and Inter-Bank Dealings (Foreign Exchange).</w:t>
      </w:r>
    </w:p>
    <w:p w:rsidR="00877B0F" w:rsidRPr="000C5524" w:rsidRDefault="00877B0F" w:rsidP="000C5524">
      <w:pPr>
        <w:spacing w:after="120" w:line="276" w:lineRule="auto"/>
        <w:ind w:left="720" w:hanging="720"/>
        <w:jc w:val="both"/>
        <w:rPr>
          <w:rFonts w:ascii="Arial" w:eastAsia="Times New Roman" w:hAnsi="Arial" w:cs="Arial"/>
          <w:lang w:eastAsia="en-IN"/>
        </w:rPr>
      </w:pPr>
      <w:r w:rsidRPr="000C5524">
        <w:rPr>
          <w:rFonts w:ascii="Arial" w:eastAsia="Times New Roman" w:hAnsi="Arial" w:cs="Arial"/>
          <w:lang w:eastAsia="en-IN"/>
        </w:rPr>
        <w:lastRenderedPageBreak/>
        <w:t>Bank for International Settlements. (2022). FX hedging and risk management practices in emerging market economies.</w:t>
      </w:r>
    </w:p>
    <w:p w:rsidR="00877B0F" w:rsidRPr="000C5524" w:rsidRDefault="00877B0F" w:rsidP="000C5524">
      <w:pPr>
        <w:spacing w:after="120" w:line="276" w:lineRule="auto"/>
        <w:ind w:left="720" w:hanging="720"/>
        <w:jc w:val="both"/>
        <w:rPr>
          <w:rFonts w:ascii="Arial" w:eastAsia="Times New Roman" w:hAnsi="Arial" w:cs="Arial"/>
          <w:lang w:eastAsia="en-IN"/>
        </w:rPr>
      </w:pPr>
      <w:r w:rsidRPr="000C5524">
        <w:rPr>
          <w:rFonts w:ascii="Arial" w:eastAsia="Times New Roman" w:hAnsi="Arial" w:cs="Arial"/>
          <w:lang w:eastAsia="en-IN"/>
        </w:rPr>
        <w:t>Hull, J. C. (2021). Options, futures, and other derivatives (11th ed.). Pearson.</w:t>
      </w:r>
    </w:p>
    <w:p w:rsidR="00877B0F" w:rsidRPr="000C5524" w:rsidRDefault="00877B0F" w:rsidP="000C5524">
      <w:pPr>
        <w:spacing w:after="120" w:line="276" w:lineRule="auto"/>
        <w:ind w:left="720" w:hanging="720"/>
        <w:jc w:val="both"/>
        <w:rPr>
          <w:rFonts w:ascii="Arial" w:eastAsia="Times New Roman" w:hAnsi="Arial" w:cs="Arial"/>
          <w:lang w:eastAsia="en-IN"/>
        </w:rPr>
      </w:pPr>
      <w:r w:rsidRPr="000C5524">
        <w:rPr>
          <w:rFonts w:ascii="Arial" w:eastAsia="Times New Roman" w:hAnsi="Arial" w:cs="Arial"/>
          <w:lang w:eastAsia="en-IN"/>
        </w:rPr>
        <w:t>Vihasini, A. (2025). Currency vs confidence: Helping a growing exporter navigate forex risk (Unpublished internship case study).</w:t>
      </w:r>
    </w:p>
    <w:p w:rsidR="00877B0F" w:rsidRPr="000C5524" w:rsidRDefault="00877B0F" w:rsidP="000C5524">
      <w:pPr>
        <w:spacing w:after="120" w:line="276" w:lineRule="auto"/>
        <w:ind w:left="720" w:hanging="720"/>
        <w:jc w:val="both"/>
        <w:rPr>
          <w:rFonts w:ascii="Arial" w:eastAsia="Times New Roman" w:hAnsi="Arial" w:cs="Arial"/>
          <w:lang w:eastAsia="en-IN"/>
        </w:rPr>
      </w:pPr>
      <w:hyperlink r:id="rId10" w:history="1">
        <w:r w:rsidRPr="000C5524">
          <w:rPr>
            <w:rFonts w:ascii="Arial" w:eastAsia="Times New Roman" w:hAnsi="Arial" w:cs="Arial"/>
            <w:color w:val="0000FF"/>
            <w:u w:val="single"/>
            <w:lang w:eastAsia="en-IN"/>
          </w:rPr>
          <w:t>https://woxsen.edu.in/adobe-2024/assets/images/adobe24-abstracttemplate_v4.pdf</w:t>
        </w:r>
      </w:hyperlink>
    </w:p>
    <w:p w:rsidR="00877B0F" w:rsidRPr="000C5524" w:rsidRDefault="00877B0F" w:rsidP="000C5524">
      <w:pPr>
        <w:spacing w:after="120" w:line="276" w:lineRule="auto"/>
        <w:ind w:left="720" w:hanging="720"/>
        <w:jc w:val="both"/>
        <w:rPr>
          <w:rFonts w:ascii="Arial" w:eastAsia="Times New Roman" w:hAnsi="Arial" w:cs="Arial"/>
          <w:lang w:eastAsia="en-IN"/>
        </w:rPr>
      </w:pPr>
      <w:hyperlink r:id="rId11" w:history="1">
        <w:r w:rsidRPr="000C5524">
          <w:rPr>
            <w:rFonts w:ascii="Arial" w:eastAsia="Times New Roman" w:hAnsi="Arial" w:cs="Arial"/>
            <w:color w:val="0000FF"/>
            <w:u w:val="single"/>
            <w:lang w:eastAsia="en-IN"/>
          </w:rPr>
          <w:t>https://www.devpath.com/blog/one-pager-six-pager</w:t>
        </w:r>
      </w:hyperlink>
    </w:p>
    <w:p w:rsidR="00877B0F" w:rsidRPr="000C5524" w:rsidRDefault="00877B0F" w:rsidP="000C5524">
      <w:pPr>
        <w:spacing w:after="120" w:line="276" w:lineRule="auto"/>
        <w:ind w:left="720" w:hanging="720"/>
        <w:jc w:val="both"/>
        <w:rPr>
          <w:rFonts w:ascii="Arial" w:eastAsia="Times New Roman" w:hAnsi="Arial" w:cs="Arial"/>
          <w:lang w:eastAsia="en-IN"/>
        </w:rPr>
      </w:pPr>
      <w:hyperlink r:id="rId12" w:history="1">
        <w:r w:rsidRPr="000C5524">
          <w:rPr>
            <w:rFonts w:ascii="Arial" w:eastAsia="Times New Roman" w:hAnsi="Arial" w:cs="Arial"/>
            <w:color w:val="0000FF"/>
            <w:u w:val="single"/>
            <w:lang w:eastAsia="en-IN"/>
          </w:rPr>
          <w:t>https://www.ivi.int/who-we-are/leadership/ravi-ganapathy/</w:t>
        </w:r>
      </w:hyperlink>
    </w:p>
    <w:p w:rsidR="00877B0F" w:rsidRPr="000C5524" w:rsidRDefault="00877B0F" w:rsidP="000C5524">
      <w:pPr>
        <w:spacing w:after="120" w:line="276" w:lineRule="auto"/>
        <w:ind w:left="720" w:hanging="720"/>
        <w:jc w:val="both"/>
        <w:rPr>
          <w:rFonts w:ascii="Arial" w:eastAsia="Times New Roman" w:hAnsi="Arial" w:cs="Arial"/>
          <w:lang w:eastAsia="en-IN"/>
        </w:rPr>
      </w:pPr>
      <w:hyperlink r:id="rId13" w:history="1">
        <w:r w:rsidRPr="000C5524">
          <w:rPr>
            <w:rFonts w:ascii="Arial" w:eastAsia="Times New Roman" w:hAnsi="Arial" w:cs="Arial"/>
            <w:color w:val="0000FF"/>
            <w:u w:val="single"/>
            <w:lang w:eastAsia="en-IN"/>
          </w:rPr>
          <w:t>https://www.extendmed.com/news-and-resources/kol-management</w:t>
        </w:r>
      </w:hyperlink>
    </w:p>
    <w:p w:rsidR="00877B0F" w:rsidRPr="000C5524" w:rsidRDefault="00877B0F" w:rsidP="000C5524">
      <w:pPr>
        <w:spacing w:after="120" w:line="276" w:lineRule="auto"/>
        <w:ind w:left="720" w:hanging="720"/>
        <w:jc w:val="both"/>
        <w:rPr>
          <w:rFonts w:ascii="Arial" w:eastAsia="Times New Roman" w:hAnsi="Arial" w:cs="Arial"/>
          <w:lang w:eastAsia="en-IN"/>
        </w:rPr>
      </w:pPr>
      <w:hyperlink r:id="rId14" w:history="1">
        <w:r w:rsidRPr="000C5524">
          <w:rPr>
            <w:rFonts w:ascii="Arial" w:eastAsia="Times New Roman" w:hAnsi="Arial" w:cs="Arial"/>
            <w:color w:val="0000FF"/>
            <w:u w:val="single"/>
            <w:lang w:eastAsia="en-IN"/>
          </w:rPr>
          <w:t>https://visme.co/blog/amazon-6-pager/</w:t>
        </w:r>
      </w:hyperlink>
    </w:p>
    <w:p w:rsidR="00877B0F" w:rsidRPr="000C5524" w:rsidRDefault="00877B0F" w:rsidP="000C5524">
      <w:pPr>
        <w:spacing w:after="120" w:line="276" w:lineRule="auto"/>
        <w:ind w:left="720" w:hanging="720"/>
        <w:jc w:val="both"/>
        <w:rPr>
          <w:rFonts w:ascii="Arial" w:eastAsia="Times New Roman" w:hAnsi="Arial" w:cs="Arial"/>
          <w:lang w:eastAsia="en-IN"/>
        </w:rPr>
      </w:pPr>
      <w:hyperlink r:id="rId15" w:history="1">
        <w:r w:rsidRPr="000C5524">
          <w:rPr>
            <w:rFonts w:ascii="Arial" w:eastAsia="Times New Roman" w:hAnsi="Arial" w:cs="Arial"/>
            <w:color w:val="0000FF"/>
            <w:u w:val="single"/>
            <w:lang w:eastAsia="en-IN"/>
          </w:rPr>
          <w:t>https://www.emeraldgrouppublishing.com/journal/tcj</w:t>
        </w:r>
      </w:hyperlink>
    </w:p>
    <w:p w:rsidR="00877B0F" w:rsidRPr="000C5524" w:rsidRDefault="00877B0F" w:rsidP="000C5524">
      <w:pPr>
        <w:spacing w:after="120" w:line="276" w:lineRule="auto"/>
        <w:ind w:left="720" w:hanging="720"/>
        <w:jc w:val="both"/>
        <w:rPr>
          <w:rFonts w:ascii="Arial" w:eastAsia="Times New Roman" w:hAnsi="Arial" w:cs="Arial"/>
          <w:lang w:eastAsia="en-IN"/>
        </w:rPr>
      </w:pPr>
      <w:hyperlink r:id="rId16" w:history="1">
        <w:r w:rsidRPr="000C5524">
          <w:rPr>
            <w:rFonts w:ascii="Arial" w:eastAsia="Times New Roman" w:hAnsi="Arial" w:cs="Arial"/>
            <w:color w:val="0000FF"/>
            <w:u w:val="single"/>
            <w:lang w:eastAsia="en-IN"/>
          </w:rPr>
          <w:t>https://www.isscr.org/guidelines</w:t>
        </w:r>
      </w:hyperlink>
    </w:p>
    <w:p w:rsidR="00877B0F" w:rsidRPr="000C5524" w:rsidRDefault="00877B0F" w:rsidP="000C5524">
      <w:pPr>
        <w:spacing w:after="120" w:line="276" w:lineRule="auto"/>
        <w:ind w:left="720" w:hanging="720"/>
        <w:jc w:val="both"/>
        <w:rPr>
          <w:rFonts w:ascii="Arial" w:eastAsia="Times New Roman" w:hAnsi="Arial" w:cs="Arial"/>
          <w:lang w:eastAsia="en-IN"/>
        </w:rPr>
      </w:pPr>
      <w:hyperlink r:id="rId17" w:history="1">
        <w:r w:rsidRPr="000C5524">
          <w:rPr>
            <w:rFonts w:ascii="Arial" w:eastAsia="Times New Roman" w:hAnsi="Arial" w:cs="Arial"/>
            <w:color w:val="0000FF"/>
            <w:u w:val="single"/>
            <w:lang w:eastAsia="en-IN"/>
          </w:rPr>
          <w:t>https://cseweb.ucsd.edu/~ravir/</w:t>
        </w:r>
      </w:hyperlink>
    </w:p>
    <w:p w:rsidR="00877B0F" w:rsidRPr="000C5524" w:rsidRDefault="00877B0F" w:rsidP="000C5524">
      <w:pPr>
        <w:spacing w:after="120" w:line="276" w:lineRule="auto"/>
        <w:ind w:left="720" w:hanging="720"/>
        <w:jc w:val="both"/>
        <w:rPr>
          <w:rFonts w:ascii="Arial" w:eastAsia="Times New Roman" w:hAnsi="Arial" w:cs="Arial"/>
          <w:lang w:eastAsia="en-IN"/>
        </w:rPr>
      </w:pPr>
      <w:hyperlink r:id="rId18" w:history="1">
        <w:r w:rsidRPr="000C5524">
          <w:rPr>
            <w:rFonts w:ascii="Arial" w:eastAsia="Times New Roman" w:hAnsi="Arial" w:cs="Arial"/>
            <w:color w:val="0000FF"/>
            <w:u w:val="single"/>
            <w:lang w:eastAsia="en-IN"/>
          </w:rPr>
          <w:t>https://profiles.stanford.edu/ravindra-majeti</w:t>
        </w:r>
      </w:hyperlink>
    </w:p>
    <w:p w:rsidR="00877B0F" w:rsidRPr="000C5524" w:rsidRDefault="00877B0F" w:rsidP="000C5524">
      <w:pPr>
        <w:spacing w:after="120" w:line="276" w:lineRule="auto"/>
        <w:ind w:left="720" w:hanging="720"/>
        <w:jc w:val="both"/>
        <w:rPr>
          <w:rFonts w:ascii="Arial" w:eastAsia="Times New Roman" w:hAnsi="Arial" w:cs="Arial"/>
          <w:lang w:eastAsia="en-IN"/>
        </w:rPr>
      </w:pPr>
      <w:hyperlink r:id="rId19" w:history="1">
        <w:r w:rsidRPr="000C5524">
          <w:rPr>
            <w:rFonts w:ascii="Arial" w:eastAsia="Times New Roman" w:hAnsi="Arial" w:cs="Arial"/>
            <w:color w:val="0000FF"/>
            <w:u w:val="single"/>
            <w:lang w:eastAsia="en-IN"/>
          </w:rPr>
          <w:t>https://www.infosys.com/engineering-services/white-papers/documents/roadmap-definition-aerospace-manufacturing.pdf</w:t>
        </w:r>
      </w:hyperlink>
    </w:p>
    <w:p w:rsidR="00877B0F" w:rsidRPr="000C5524" w:rsidRDefault="00877B0F" w:rsidP="000C5524">
      <w:pPr>
        <w:spacing w:after="120" w:line="276" w:lineRule="auto"/>
        <w:ind w:left="426"/>
        <w:jc w:val="both"/>
        <w:rPr>
          <w:rFonts w:ascii="Arial" w:hAnsi="Arial" w:cs="Arial"/>
        </w:rPr>
      </w:pPr>
    </w:p>
    <w:p w:rsidR="00C05C58" w:rsidRPr="000C5524" w:rsidRDefault="000C5524" w:rsidP="000C5524">
      <w:pPr>
        <w:spacing w:after="120" w:line="276" w:lineRule="auto"/>
        <w:ind w:left="426"/>
        <w:jc w:val="both"/>
        <w:rPr>
          <w:rFonts w:ascii="Arial" w:hAnsi="Arial" w:cs="Arial"/>
        </w:rPr>
      </w:pPr>
      <w:r w:rsidRPr="000C5524">
        <w:rPr>
          <w:rFonts w:ascii="Arial" w:hAnsi="Arial" w:cs="Arial"/>
        </w:rPr>
        <w:t xml:space="preserve"> </w:t>
      </w:r>
    </w:p>
    <w:sectPr w:rsidR="00C05C58" w:rsidRPr="000C5524" w:rsidSect="000C5524">
      <w:headerReference w:type="even" r:id="rId20"/>
      <w:headerReference w:type="default" r:id="rId21"/>
      <w:type w:val="continuous"/>
      <w:pgSz w:w="11906" w:h="16838" w:code="9"/>
      <w:pgMar w:top="1440" w:right="1440" w:bottom="1440" w:left="1440" w:header="1008" w:footer="706" w:gutter="0"/>
      <w:pgNumType w:start="38"/>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E0F" w:rsidRDefault="00F01E0F" w:rsidP="007419B7">
      <w:pPr>
        <w:spacing w:after="0" w:line="240" w:lineRule="auto"/>
      </w:pPr>
      <w:r>
        <w:separator/>
      </w:r>
    </w:p>
  </w:endnote>
  <w:endnote w:type="continuationSeparator" w:id="0">
    <w:p w:rsidR="00F01E0F" w:rsidRDefault="00F01E0F" w:rsidP="0074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E0F" w:rsidRDefault="00F01E0F" w:rsidP="007419B7">
      <w:pPr>
        <w:spacing w:after="0" w:line="240" w:lineRule="auto"/>
      </w:pPr>
      <w:r>
        <w:separator/>
      </w:r>
    </w:p>
  </w:footnote>
  <w:footnote w:type="continuationSeparator" w:id="0">
    <w:p w:rsidR="00F01E0F" w:rsidRDefault="00F01E0F" w:rsidP="00741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524" w:rsidRPr="005D0032" w:rsidRDefault="000C5524" w:rsidP="000C5524">
    <w:pPr>
      <w:pStyle w:val="Header"/>
      <w:pBdr>
        <w:bottom w:val="single" w:sz="4" w:space="1" w:color="auto"/>
      </w:pBdr>
      <w:rPr>
        <w:rFonts w:ascii="Arial" w:hAnsi="Arial" w:cs="Arial"/>
        <w:i/>
        <w:iCs/>
        <w:sz w:val="16"/>
        <w:szCs w:val="16"/>
      </w:rPr>
    </w:pPr>
    <w:r w:rsidRPr="00442A99">
      <w:rPr>
        <w:rFonts w:ascii="Arial" w:hAnsi="Arial" w:cs="Arial"/>
        <w:i/>
        <w:iCs/>
        <w:sz w:val="16"/>
        <w:szCs w:val="16"/>
      </w:rPr>
      <w:t>2025</w:t>
    </w:r>
    <w:r w:rsidRPr="00442A99">
      <w:rPr>
        <w:rFonts w:ascii="Arial" w:hAnsi="Arial" w:cs="Arial"/>
        <w:i/>
        <w:iCs/>
        <w:sz w:val="16"/>
        <w:szCs w:val="16"/>
      </w:rPr>
      <w:tab/>
    </w:r>
    <w:r>
      <w:rPr>
        <w:rFonts w:ascii="Arial" w:hAnsi="Arial" w:cs="Arial"/>
        <w:i/>
        <w:iCs/>
        <w:sz w:val="16"/>
        <w:szCs w:val="16"/>
      </w:rPr>
      <w:t>Vihasini A, Dr. Vinoth S</w:t>
    </w:r>
    <w:r w:rsidRPr="00442A99">
      <w:rPr>
        <w:rFonts w:ascii="Arial" w:hAnsi="Arial" w:cs="Arial"/>
        <w:i/>
        <w:iCs/>
        <w:sz w:val="16"/>
        <w:szCs w:val="16"/>
      </w:rPr>
      <w:tab/>
    </w:r>
    <w:r w:rsidRPr="004F4719">
      <w:rPr>
        <w:rFonts w:ascii="Arial" w:hAnsi="Arial" w:cs="Arial"/>
        <w:sz w:val="16"/>
        <w:szCs w:val="16"/>
      </w:rPr>
      <w:fldChar w:fldCharType="begin"/>
    </w:r>
    <w:r w:rsidRPr="004F4719">
      <w:rPr>
        <w:rFonts w:ascii="Arial" w:hAnsi="Arial" w:cs="Arial"/>
        <w:sz w:val="16"/>
        <w:szCs w:val="16"/>
      </w:rPr>
      <w:instrText xml:space="preserve"> PAGE   \* MERGEFORMAT </w:instrText>
    </w:r>
    <w:r w:rsidRPr="004F4719">
      <w:rPr>
        <w:rFonts w:ascii="Arial" w:hAnsi="Arial" w:cs="Arial"/>
        <w:sz w:val="16"/>
        <w:szCs w:val="16"/>
      </w:rPr>
      <w:fldChar w:fldCharType="separate"/>
    </w:r>
    <w:r>
      <w:rPr>
        <w:rFonts w:ascii="Arial" w:hAnsi="Arial" w:cs="Arial"/>
        <w:sz w:val="16"/>
        <w:szCs w:val="16"/>
      </w:rPr>
      <w:t>39</w:t>
    </w:r>
    <w:r w:rsidRPr="004F4719">
      <w:rPr>
        <w:rFonts w:ascii="Arial" w:hAnsi="Arial" w:cs="Arial"/>
        <w:noProof/>
        <w:sz w:val="16"/>
        <w:szCs w:val="16"/>
      </w:rPr>
      <w:fldChar w:fldCharType="end"/>
    </w:r>
  </w:p>
  <w:p w:rsidR="000C5524" w:rsidRDefault="000C5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524" w:rsidRPr="00F8020C" w:rsidRDefault="000C5524" w:rsidP="000C5524">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36</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p w:rsidR="000C5524" w:rsidRDefault="000C55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CCB" w:rsidRPr="005D0032" w:rsidRDefault="00A86CCB" w:rsidP="000C5524">
    <w:pPr>
      <w:pStyle w:val="Header"/>
      <w:pBdr>
        <w:bottom w:val="single" w:sz="4" w:space="1" w:color="auto"/>
      </w:pBdr>
      <w:rPr>
        <w:rFonts w:ascii="Arial" w:hAnsi="Arial" w:cs="Arial"/>
        <w:i/>
        <w:iCs/>
        <w:sz w:val="16"/>
        <w:szCs w:val="16"/>
      </w:rPr>
    </w:pPr>
    <w:r w:rsidRPr="00442A99">
      <w:rPr>
        <w:rFonts w:ascii="Arial" w:hAnsi="Arial" w:cs="Arial"/>
        <w:i/>
        <w:iCs/>
        <w:sz w:val="16"/>
        <w:szCs w:val="16"/>
      </w:rPr>
      <w:t>2025</w:t>
    </w:r>
    <w:r w:rsidRPr="00442A99">
      <w:rPr>
        <w:rFonts w:ascii="Arial" w:hAnsi="Arial" w:cs="Arial"/>
        <w:i/>
        <w:iCs/>
        <w:sz w:val="16"/>
        <w:szCs w:val="16"/>
      </w:rPr>
      <w:tab/>
    </w:r>
    <w:r>
      <w:rPr>
        <w:rFonts w:ascii="Arial" w:hAnsi="Arial" w:cs="Arial"/>
        <w:i/>
        <w:iCs/>
        <w:sz w:val="16"/>
        <w:szCs w:val="16"/>
      </w:rPr>
      <w:t>Vihasini A, Dr. Vinoth S</w:t>
    </w:r>
    <w:r w:rsidRPr="00442A99">
      <w:rPr>
        <w:rFonts w:ascii="Arial" w:hAnsi="Arial" w:cs="Arial"/>
        <w:i/>
        <w:iCs/>
        <w:sz w:val="16"/>
        <w:szCs w:val="16"/>
      </w:rPr>
      <w:tab/>
    </w:r>
    <w:r w:rsidRPr="004F4719">
      <w:rPr>
        <w:rFonts w:ascii="Arial" w:hAnsi="Arial" w:cs="Arial"/>
        <w:sz w:val="16"/>
        <w:szCs w:val="16"/>
      </w:rPr>
      <w:fldChar w:fldCharType="begin"/>
    </w:r>
    <w:r w:rsidRPr="004F4719">
      <w:rPr>
        <w:rFonts w:ascii="Arial" w:hAnsi="Arial" w:cs="Arial"/>
        <w:sz w:val="16"/>
        <w:szCs w:val="16"/>
      </w:rPr>
      <w:instrText xml:space="preserve"> PAGE   \* MERGEFORMAT </w:instrText>
    </w:r>
    <w:r w:rsidRPr="004F4719">
      <w:rPr>
        <w:rFonts w:ascii="Arial" w:hAnsi="Arial" w:cs="Arial"/>
        <w:sz w:val="16"/>
        <w:szCs w:val="16"/>
      </w:rPr>
      <w:fldChar w:fldCharType="separate"/>
    </w:r>
    <w:r>
      <w:rPr>
        <w:rFonts w:ascii="Arial" w:hAnsi="Arial" w:cs="Arial"/>
        <w:sz w:val="16"/>
        <w:szCs w:val="16"/>
      </w:rPr>
      <w:t>39</w:t>
    </w:r>
    <w:r w:rsidRPr="004F4719">
      <w:rPr>
        <w:rFonts w:ascii="Arial" w:hAnsi="Arial" w:cs="Arial"/>
        <w:noProof/>
        <w:sz w:val="16"/>
        <w:szCs w:val="16"/>
      </w:rPr>
      <w:fldChar w:fldCharType="end"/>
    </w:r>
  </w:p>
  <w:p w:rsidR="00A86CCB" w:rsidRDefault="00A86C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CCB" w:rsidRPr="00F8020C" w:rsidRDefault="00A86CCB" w:rsidP="000C5524">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36</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p w:rsidR="00A86CCB" w:rsidRDefault="00A86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208"/>
    <w:multiLevelType w:val="hybridMultilevel"/>
    <w:tmpl w:val="9A8A4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E95BED"/>
    <w:multiLevelType w:val="multilevel"/>
    <w:tmpl w:val="9760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61FB2"/>
    <w:multiLevelType w:val="hybridMultilevel"/>
    <w:tmpl w:val="55EE17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7B90314"/>
    <w:multiLevelType w:val="hybridMultilevel"/>
    <w:tmpl w:val="A4BAF6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345D88"/>
    <w:multiLevelType w:val="hybridMultilevel"/>
    <w:tmpl w:val="037E47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7E2AC3"/>
    <w:multiLevelType w:val="hybridMultilevel"/>
    <w:tmpl w:val="883CF50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73F001B"/>
    <w:multiLevelType w:val="multilevel"/>
    <w:tmpl w:val="6914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10783"/>
    <w:multiLevelType w:val="multilevel"/>
    <w:tmpl w:val="A518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810E9"/>
    <w:multiLevelType w:val="hybridMultilevel"/>
    <w:tmpl w:val="E6F4A8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D83113"/>
    <w:multiLevelType w:val="hybridMultilevel"/>
    <w:tmpl w:val="A9603F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63E58A9"/>
    <w:multiLevelType w:val="hybridMultilevel"/>
    <w:tmpl w:val="1E8AF4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A082EA5"/>
    <w:multiLevelType w:val="hybridMultilevel"/>
    <w:tmpl w:val="6D7A62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EB9337A"/>
    <w:multiLevelType w:val="hybridMultilevel"/>
    <w:tmpl w:val="F65E1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E04E4C"/>
    <w:multiLevelType w:val="hybridMultilevel"/>
    <w:tmpl w:val="F1AE3E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C1945A4"/>
    <w:multiLevelType w:val="hybridMultilevel"/>
    <w:tmpl w:val="BA8405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9452569"/>
    <w:multiLevelType w:val="hybridMultilevel"/>
    <w:tmpl w:val="B2A050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CF16C1D"/>
    <w:multiLevelType w:val="hybridMultilevel"/>
    <w:tmpl w:val="B9A0AD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A471C49"/>
    <w:multiLevelType w:val="hybridMultilevel"/>
    <w:tmpl w:val="C7767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850431"/>
    <w:multiLevelType w:val="hybridMultilevel"/>
    <w:tmpl w:val="029C9B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5302519"/>
    <w:multiLevelType w:val="multilevel"/>
    <w:tmpl w:val="F3F2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71998"/>
    <w:multiLevelType w:val="hybridMultilevel"/>
    <w:tmpl w:val="3376B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CB9315D"/>
    <w:multiLevelType w:val="hybridMultilevel"/>
    <w:tmpl w:val="02B05E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FF71B5C"/>
    <w:multiLevelType w:val="hybridMultilevel"/>
    <w:tmpl w:val="B79E9C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DA734A9"/>
    <w:multiLevelType w:val="hybridMultilevel"/>
    <w:tmpl w:val="C8948C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F693C43"/>
    <w:multiLevelType w:val="hybridMultilevel"/>
    <w:tmpl w:val="14B84E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B92CB3"/>
    <w:multiLevelType w:val="hybridMultilevel"/>
    <w:tmpl w:val="03BA36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51293864">
    <w:abstractNumId w:val="2"/>
  </w:num>
  <w:num w:numId="2" w16cid:durableId="277950071">
    <w:abstractNumId w:val="13"/>
  </w:num>
  <w:num w:numId="3" w16cid:durableId="556208146">
    <w:abstractNumId w:val="12"/>
  </w:num>
  <w:num w:numId="4" w16cid:durableId="1193806728">
    <w:abstractNumId w:val="0"/>
  </w:num>
  <w:num w:numId="5" w16cid:durableId="1833984412">
    <w:abstractNumId w:val="17"/>
  </w:num>
  <w:num w:numId="6" w16cid:durableId="882792827">
    <w:abstractNumId w:val="16"/>
  </w:num>
  <w:num w:numId="7" w16cid:durableId="1305357021">
    <w:abstractNumId w:val="20"/>
  </w:num>
  <w:num w:numId="8" w16cid:durableId="832600655">
    <w:abstractNumId w:val="22"/>
  </w:num>
  <w:num w:numId="9" w16cid:durableId="1461799804">
    <w:abstractNumId w:val="21"/>
  </w:num>
  <w:num w:numId="10" w16cid:durableId="508329970">
    <w:abstractNumId w:val="11"/>
  </w:num>
  <w:num w:numId="11" w16cid:durableId="1593585781">
    <w:abstractNumId w:val="3"/>
  </w:num>
  <w:num w:numId="12" w16cid:durableId="1408652385">
    <w:abstractNumId w:val="24"/>
  </w:num>
  <w:num w:numId="13" w16cid:durableId="96170978">
    <w:abstractNumId w:val="14"/>
  </w:num>
  <w:num w:numId="14" w16cid:durableId="1252661313">
    <w:abstractNumId w:val="23"/>
  </w:num>
  <w:num w:numId="15" w16cid:durableId="1553999731">
    <w:abstractNumId w:val="25"/>
  </w:num>
  <w:num w:numId="16" w16cid:durableId="956066805">
    <w:abstractNumId w:val="4"/>
  </w:num>
  <w:num w:numId="17" w16cid:durableId="211385968">
    <w:abstractNumId w:val="15"/>
  </w:num>
  <w:num w:numId="18" w16cid:durableId="2128961459">
    <w:abstractNumId w:val="10"/>
  </w:num>
  <w:num w:numId="19" w16cid:durableId="257062821">
    <w:abstractNumId w:val="18"/>
  </w:num>
  <w:num w:numId="20" w16cid:durableId="587158735">
    <w:abstractNumId w:val="9"/>
  </w:num>
  <w:num w:numId="21" w16cid:durableId="2138523654">
    <w:abstractNumId w:val="8"/>
  </w:num>
  <w:num w:numId="22" w16cid:durableId="2047095066">
    <w:abstractNumId w:val="19"/>
  </w:num>
  <w:num w:numId="23" w16cid:durableId="598828325">
    <w:abstractNumId w:val="1"/>
  </w:num>
  <w:num w:numId="24" w16cid:durableId="1136488951">
    <w:abstractNumId w:val="7"/>
  </w:num>
  <w:num w:numId="25" w16cid:durableId="1966428539">
    <w:abstractNumId w:val="6"/>
  </w:num>
  <w:num w:numId="26" w16cid:durableId="691494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B0"/>
    <w:rsid w:val="000C5524"/>
    <w:rsid w:val="000C7255"/>
    <w:rsid w:val="000F6060"/>
    <w:rsid w:val="003147A7"/>
    <w:rsid w:val="00370CB0"/>
    <w:rsid w:val="003C1433"/>
    <w:rsid w:val="0049568C"/>
    <w:rsid w:val="005663CC"/>
    <w:rsid w:val="005924F2"/>
    <w:rsid w:val="005B6E3E"/>
    <w:rsid w:val="00737253"/>
    <w:rsid w:val="007419B7"/>
    <w:rsid w:val="00877B0F"/>
    <w:rsid w:val="008C3EED"/>
    <w:rsid w:val="00944CE3"/>
    <w:rsid w:val="00A53022"/>
    <w:rsid w:val="00A86CCB"/>
    <w:rsid w:val="00AA751F"/>
    <w:rsid w:val="00AB2565"/>
    <w:rsid w:val="00AB2DBB"/>
    <w:rsid w:val="00B364AA"/>
    <w:rsid w:val="00B557A2"/>
    <w:rsid w:val="00BF699F"/>
    <w:rsid w:val="00C05C58"/>
    <w:rsid w:val="00C10622"/>
    <w:rsid w:val="00EB1C29"/>
    <w:rsid w:val="00EB6929"/>
    <w:rsid w:val="00F01E0F"/>
    <w:rsid w:val="00F35E60"/>
    <w:rsid w:val="00F64262"/>
    <w:rsid w:val="00F85FF3"/>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B33C"/>
  <w15:chartTrackingRefBased/>
  <w15:docId w15:val="{951EC80A-935E-4A6F-A5FA-752C9C1A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C58"/>
    <w:pPr>
      <w:ind w:left="720"/>
      <w:contextualSpacing/>
    </w:pPr>
  </w:style>
  <w:style w:type="table" w:styleId="TableGrid">
    <w:name w:val="Table Grid"/>
    <w:basedOn w:val="TableNormal"/>
    <w:uiPriority w:val="39"/>
    <w:rsid w:val="0074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19B7"/>
    <w:rPr>
      <w:color w:val="0000FF"/>
      <w:u w:val="single"/>
    </w:rPr>
  </w:style>
  <w:style w:type="paragraph" w:styleId="Header">
    <w:name w:val="header"/>
    <w:basedOn w:val="Normal"/>
    <w:link w:val="HeaderChar"/>
    <w:uiPriority w:val="99"/>
    <w:unhideWhenUsed/>
    <w:rsid w:val="00741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9B7"/>
  </w:style>
  <w:style w:type="paragraph" w:styleId="Footer">
    <w:name w:val="footer"/>
    <w:basedOn w:val="Normal"/>
    <w:link w:val="FooterChar"/>
    <w:uiPriority w:val="99"/>
    <w:unhideWhenUsed/>
    <w:rsid w:val="00741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79247">
      <w:bodyDiv w:val="1"/>
      <w:marLeft w:val="0"/>
      <w:marRight w:val="0"/>
      <w:marTop w:val="0"/>
      <w:marBottom w:val="0"/>
      <w:divBdr>
        <w:top w:val="none" w:sz="0" w:space="0" w:color="auto"/>
        <w:left w:val="none" w:sz="0" w:space="0" w:color="auto"/>
        <w:bottom w:val="none" w:sz="0" w:space="0" w:color="auto"/>
        <w:right w:val="none" w:sz="0" w:space="0" w:color="auto"/>
      </w:divBdr>
    </w:div>
    <w:div w:id="185522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xtendmed.com/news-and-resources/kol-management" TargetMode="External"/><Relationship Id="rId18" Type="http://schemas.openxmlformats.org/officeDocument/2006/relationships/hyperlink" Target="https://profiles.stanford.edu/ravindra-majeti"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doi.org/10.5281/zenodo.17810271" TargetMode="External"/><Relationship Id="rId12" Type="http://schemas.openxmlformats.org/officeDocument/2006/relationships/hyperlink" Target="https://www.ivi.int/who-we-are/leadership/ravi-ganapathy/" TargetMode="External"/><Relationship Id="rId17" Type="http://schemas.openxmlformats.org/officeDocument/2006/relationships/hyperlink" Target="https://cseweb.ucsd.edu/~ravir/" TargetMode="External"/><Relationship Id="rId2" Type="http://schemas.openxmlformats.org/officeDocument/2006/relationships/styles" Target="styles.xml"/><Relationship Id="rId16" Type="http://schemas.openxmlformats.org/officeDocument/2006/relationships/hyperlink" Target="https://www.isscr.org/guidelines"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vpath.com/blog/one-pager-six-pager" TargetMode="External"/><Relationship Id="rId5" Type="http://schemas.openxmlformats.org/officeDocument/2006/relationships/footnotes" Target="footnotes.xml"/><Relationship Id="rId15" Type="http://schemas.openxmlformats.org/officeDocument/2006/relationships/hyperlink" Target="https://www.emeraldgrouppublishing.com/journal/tcj" TargetMode="External"/><Relationship Id="rId23" Type="http://schemas.openxmlformats.org/officeDocument/2006/relationships/theme" Target="theme/theme1.xml"/><Relationship Id="rId10" Type="http://schemas.openxmlformats.org/officeDocument/2006/relationships/hyperlink" Target="https://woxsen.edu.in/adobe-2024/assets/images/adobe24-abstracttemplate_v4.pdf" TargetMode="External"/><Relationship Id="rId19" Type="http://schemas.openxmlformats.org/officeDocument/2006/relationships/hyperlink" Target="https://www.infosys.com/engineering-services/white-papers/documents/roadmap-definition-aerospace-manufacturing.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visme.co/blog/amazon-6-pag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CMS-STAFF138</dc:creator>
  <cp:keywords/>
  <dc:description/>
  <cp:lastModifiedBy>shankar da</cp:lastModifiedBy>
  <cp:revision>11</cp:revision>
  <dcterms:created xsi:type="dcterms:W3CDTF">2025-12-04T03:34:00Z</dcterms:created>
  <dcterms:modified xsi:type="dcterms:W3CDTF">2025-12-04T11:36:00Z</dcterms:modified>
</cp:coreProperties>
</file>