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409BF" w14:textId="547B2B11" w:rsidR="00186743" w:rsidRPr="00FA13C3" w:rsidRDefault="00186743" w:rsidP="00186743">
      <w:pPr>
        <w:spacing w:after="0" w:line="160" w:lineRule="atLeast"/>
        <w:jc w:val="both"/>
        <w:rPr>
          <w:rFonts w:ascii="Arial" w:eastAsia="Arial" w:hAnsi="Arial" w:cs="Arial"/>
          <w:i/>
          <w:color w:val="000000"/>
          <w:spacing w:val="-1"/>
          <w:sz w:val="14"/>
          <w:szCs w:val="14"/>
        </w:rPr>
      </w:pPr>
      <w:bookmarkStart w:id="0" w:name="_Hlk214382614"/>
      <w:r w:rsidRPr="00FA13C3">
        <w:rPr>
          <w:rFonts w:ascii="Arial" w:eastAsia="Arial" w:hAnsi="Arial" w:cs="Arial"/>
          <w:i/>
          <w:color w:val="000000"/>
          <w:sz w:val="14"/>
          <w:szCs w:val="14"/>
        </w:rPr>
        <w:t>©</w:t>
      </w:r>
      <w:r w:rsidRPr="00FA13C3">
        <w:rPr>
          <w:rFonts w:ascii="Arial" w:eastAsia="Arial" w:hAnsi="Arial" w:cs="Arial"/>
          <w:i/>
          <w:color w:val="000000"/>
          <w:spacing w:val="-1"/>
          <w:sz w:val="14"/>
          <w:szCs w:val="14"/>
        </w:rPr>
        <w:t xml:space="preserve"> </w:t>
      </w:r>
      <w:r w:rsidRPr="00FA13C3">
        <w:rPr>
          <w:rFonts w:ascii="Arial" w:eastAsia="Arial" w:hAnsi="Arial" w:cs="Arial"/>
          <w:i/>
          <w:color w:val="000000"/>
          <w:sz w:val="14"/>
          <w:szCs w:val="14"/>
        </w:rPr>
        <w:t>International</w:t>
      </w:r>
      <w:r w:rsidRPr="00FA13C3">
        <w:rPr>
          <w:rFonts w:ascii="Arial" w:eastAsia="Arial" w:hAnsi="Arial" w:cs="Arial"/>
          <w:i/>
          <w:color w:val="000000"/>
          <w:spacing w:val="-1"/>
          <w:sz w:val="14"/>
          <w:szCs w:val="14"/>
        </w:rPr>
        <w:t xml:space="preserve"> Academic Research Journal of Business and Management</w:t>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sidR="00214F1A">
        <w:rPr>
          <w:rFonts w:ascii="Arial" w:eastAsia="Arial" w:hAnsi="Arial" w:cs="Arial"/>
          <w:i/>
          <w:color w:val="000000"/>
          <w:spacing w:val="-1"/>
          <w:sz w:val="14"/>
          <w:szCs w:val="14"/>
        </w:rPr>
        <w:t xml:space="preserve">                                   </w:t>
      </w:r>
      <w:r w:rsidRPr="00812D87">
        <w:rPr>
          <w:rFonts w:ascii="Arial" w:eastAsia="Arial" w:hAnsi="Arial" w:cs="Arial"/>
          <w:i/>
          <w:color w:val="000000" w:themeColor="text1"/>
          <w:spacing w:val="-1"/>
          <w:sz w:val="14"/>
          <w:szCs w:val="14"/>
        </w:rPr>
        <w:t>ISSN:2227-1287</w:t>
      </w:r>
    </w:p>
    <w:p w14:paraId="06A6BCF5" w14:textId="6653C6B6" w:rsidR="00186743" w:rsidRDefault="00186743" w:rsidP="00186743">
      <w:pPr>
        <w:spacing w:after="0" w:line="160" w:lineRule="atLeast"/>
        <w:jc w:val="both"/>
        <w:rPr>
          <w:rFonts w:ascii="Arial" w:eastAsia="Arial" w:hAnsi="Arial" w:cs="Arial"/>
          <w:i/>
          <w:color w:val="000000"/>
          <w:spacing w:val="-1"/>
          <w:sz w:val="14"/>
          <w:szCs w:val="14"/>
        </w:rPr>
      </w:pPr>
      <w:r w:rsidRPr="00DF2646">
        <w:rPr>
          <w:rFonts w:ascii="Arial" w:eastAsia="Arial" w:hAnsi="Arial" w:cs="Arial"/>
          <w:i/>
          <w:color w:val="000000"/>
          <w:spacing w:val="-1"/>
          <w:sz w:val="14"/>
          <w:szCs w:val="14"/>
        </w:rPr>
        <w:t>Volume 13, Iss</w:t>
      </w:r>
      <w:r>
        <w:rPr>
          <w:rFonts w:ascii="Arial" w:eastAsia="Arial" w:hAnsi="Arial" w:cs="Arial"/>
          <w:i/>
          <w:color w:val="000000"/>
          <w:spacing w:val="-1"/>
          <w:sz w:val="14"/>
          <w:szCs w:val="14"/>
        </w:rPr>
        <w:t>ue</w:t>
      </w:r>
      <w:r w:rsidRPr="00DF2646">
        <w:rPr>
          <w:rFonts w:ascii="Arial" w:eastAsia="Arial" w:hAnsi="Arial" w:cs="Arial"/>
          <w:i/>
          <w:color w:val="000000"/>
          <w:spacing w:val="-1"/>
          <w:sz w:val="14"/>
          <w:szCs w:val="14"/>
        </w:rPr>
        <w:t xml:space="preserve"> No:</w:t>
      </w:r>
      <w:r>
        <w:rPr>
          <w:rFonts w:ascii="Arial" w:eastAsia="Arial" w:hAnsi="Arial" w:cs="Arial"/>
          <w:i/>
          <w:color w:val="000000"/>
          <w:spacing w:val="-1"/>
          <w:sz w:val="14"/>
          <w:szCs w:val="14"/>
        </w:rPr>
        <w:t>2</w:t>
      </w:r>
      <w:r w:rsidRPr="00DF2646">
        <w:rPr>
          <w:rFonts w:ascii="Arial" w:eastAsia="Arial" w:hAnsi="Arial" w:cs="Arial"/>
          <w:i/>
          <w:color w:val="000000"/>
          <w:spacing w:val="-1"/>
          <w:sz w:val="14"/>
          <w:szCs w:val="14"/>
        </w:rPr>
        <w:t xml:space="preserve">, </w:t>
      </w:r>
      <w:r w:rsidR="00214F1A">
        <w:rPr>
          <w:rFonts w:ascii="Arial" w:eastAsia="Arial" w:hAnsi="Arial" w:cs="Arial"/>
          <w:i/>
          <w:color w:val="000000"/>
          <w:spacing w:val="-1"/>
          <w:sz w:val="14"/>
          <w:szCs w:val="14"/>
        </w:rPr>
        <w:t>Dec</w:t>
      </w:r>
      <w:r>
        <w:rPr>
          <w:rFonts w:ascii="Arial" w:eastAsia="Arial" w:hAnsi="Arial" w:cs="Arial"/>
          <w:i/>
          <w:color w:val="000000"/>
          <w:spacing w:val="-1"/>
          <w:sz w:val="14"/>
          <w:szCs w:val="14"/>
        </w:rPr>
        <w:t>ember</w:t>
      </w:r>
      <w:r w:rsidRPr="00DF2646">
        <w:rPr>
          <w:rFonts w:ascii="Arial" w:eastAsia="Arial" w:hAnsi="Arial" w:cs="Arial"/>
          <w:i/>
          <w:color w:val="000000"/>
          <w:spacing w:val="-1"/>
          <w:sz w:val="14"/>
          <w:szCs w:val="14"/>
        </w:rPr>
        <w:t xml:space="preserve"> 2025</w:t>
      </w:r>
    </w:p>
    <w:p w14:paraId="36FB0E7B" w14:textId="165E9D9D" w:rsidR="00214F1A" w:rsidRPr="00FA13C3" w:rsidRDefault="00214F1A" w:rsidP="00186743">
      <w:pPr>
        <w:spacing w:after="0" w:line="160" w:lineRule="atLeast"/>
        <w:jc w:val="both"/>
        <w:rPr>
          <w:rFonts w:ascii="Arial" w:eastAsia="Arial" w:hAnsi="Arial" w:cs="Arial"/>
          <w:i/>
          <w:color w:val="000000"/>
          <w:spacing w:val="-1"/>
          <w:sz w:val="14"/>
          <w:szCs w:val="14"/>
        </w:rPr>
      </w:pPr>
      <w:hyperlink r:id="rId8" w:tgtFrame="_blank" w:history="1">
        <w:r w:rsidRPr="00214F1A">
          <w:rPr>
            <w:rStyle w:val="Hyperlink"/>
            <w:rFonts w:ascii="Arial" w:eastAsia="Arial" w:hAnsi="Arial" w:cs="Arial"/>
            <w:i/>
            <w:spacing w:val="-1"/>
            <w:sz w:val="14"/>
            <w:szCs w:val="14"/>
          </w:rPr>
          <w:t>https://doi.org/10.5281/zenodo.17586646</w:t>
        </w:r>
      </w:hyperlink>
      <w:bookmarkStart w:id="1" w:name="_GoBack"/>
      <w:bookmarkEnd w:id="1"/>
    </w:p>
    <w:bookmarkEnd w:id="0"/>
    <w:p w14:paraId="32EE0A5A" w14:textId="77777777" w:rsidR="002B76C4" w:rsidRPr="002B76C4" w:rsidRDefault="002B76C4" w:rsidP="00737E0F">
      <w:pPr>
        <w:pStyle w:val="Heading1"/>
        <w:spacing w:before="120" w:line="360" w:lineRule="auto"/>
        <w:jc w:val="center"/>
        <w:rPr>
          <w:rFonts w:ascii="Times New Roman" w:hAnsi="Times New Roman" w:cs="Times New Roman"/>
          <w:color w:val="000000" w:themeColor="text1"/>
          <w:sz w:val="2"/>
          <w:szCs w:val="2"/>
        </w:rPr>
      </w:pPr>
    </w:p>
    <w:p w14:paraId="7681CD27" w14:textId="57BE19BB" w:rsidR="009D12AD" w:rsidRDefault="009D12AD" w:rsidP="00737E0F">
      <w:pPr>
        <w:pStyle w:val="Heading1"/>
        <w:spacing w:before="120" w:line="360" w:lineRule="auto"/>
        <w:jc w:val="center"/>
        <w:rPr>
          <w:rFonts w:ascii="Times New Roman" w:hAnsi="Times New Roman" w:cs="Times New Roman"/>
          <w:color w:val="000000" w:themeColor="text1"/>
          <w:szCs w:val="32"/>
        </w:rPr>
      </w:pPr>
      <w:r w:rsidRPr="002B76C4">
        <w:rPr>
          <w:rFonts w:ascii="Times New Roman" w:hAnsi="Times New Roman" w:cs="Times New Roman"/>
          <w:color w:val="000000" w:themeColor="text1"/>
          <w:szCs w:val="32"/>
        </w:rPr>
        <w:t xml:space="preserve">Balancing </w:t>
      </w:r>
      <w:r w:rsidR="002B76C4" w:rsidRPr="002B76C4">
        <w:rPr>
          <w:rFonts w:ascii="Times New Roman" w:hAnsi="Times New Roman" w:cs="Times New Roman"/>
          <w:color w:val="000000" w:themeColor="text1"/>
          <w:szCs w:val="32"/>
        </w:rPr>
        <w:t xml:space="preserve">Tradition </w:t>
      </w:r>
      <w:r w:rsidRPr="002B76C4">
        <w:rPr>
          <w:rFonts w:ascii="Times New Roman" w:hAnsi="Times New Roman" w:cs="Times New Roman"/>
          <w:color w:val="000000" w:themeColor="text1"/>
          <w:szCs w:val="32"/>
        </w:rPr>
        <w:t xml:space="preserve">and </w:t>
      </w:r>
      <w:r w:rsidR="002B76C4" w:rsidRPr="002B76C4">
        <w:rPr>
          <w:rFonts w:ascii="Times New Roman" w:hAnsi="Times New Roman" w:cs="Times New Roman"/>
          <w:color w:val="000000" w:themeColor="text1"/>
          <w:szCs w:val="32"/>
        </w:rPr>
        <w:t xml:space="preserve">Technology </w:t>
      </w:r>
      <w:r w:rsidRPr="002B76C4">
        <w:rPr>
          <w:rFonts w:ascii="Times New Roman" w:hAnsi="Times New Roman" w:cs="Times New Roman"/>
          <w:color w:val="000000" w:themeColor="text1"/>
          <w:szCs w:val="32"/>
        </w:rPr>
        <w:t xml:space="preserve">in the </w:t>
      </w:r>
      <w:r w:rsidR="002B76C4" w:rsidRPr="002B76C4">
        <w:rPr>
          <w:rFonts w:ascii="Times New Roman" w:hAnsi="Times New Roman" w:cs="Times New Roman"/>
          <w:color w:val="000000" w:themeColor="text1"/>
          <w:szCs w:val="32"/>
        </w:rPr>
        <w:t xml:space="preserve">Coir Mats Sector </w:t>
      </w:r>
      <w:r w:rsidRPr="002B76C4">
        <w:rPr>
          <w:rFonts w:ascii="Times New Roman" w:hAnsi="Times New Roman" w:cs="Times New Roman"/>
          <w:color w:val="000000" w:themeColor="text1"/>
          <w:szCs w:val="32"/>
        </w:rPr>
        <w:t xml:space="preserve">at </w:t>
      </w:r>
      <w:r w:rsidR="002B76C4">
        <w:rPr>
          <w:rFonts w:ascii="Times New Roman" w:hAnsi="Times New Roman" w:cs="Times New Roman"/>
          <w:color w:val="000000" w:themeColor="text1"/>
          <w:szCs w:val="32"/>
        </w:rPr>
        <w:br/>
      </w:r>
      <w:r w:rsidRPr="002B76C4">
        <w:rPr>
          <w:rFonts w:ascii="Times New Roman" w:hAnsi="Times New Roman" w:cs="Times New Roman"/>
          <w:color w:val="000000" w:themeColor="text1"/>
          <w:szCs w:val="32"/>
        </w:rPr>
        <w:t>Vish U Mats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3690"/>
      </w:tblGrid>
      <w:tr w:rsidR="002B76C4" w14:paraId="4238D0D4" w14:textId="77777777" w:rsidTr="002B76C4">
        <w:trPr>
          <w:jc w:val="center"/>
        </w:trPr>
        <w:tc>
          <w:tcPr>
            <w:tcW w:w="3415" w:type="dxa"/>
          </w:tcPr>
          <w:p w14:paraId="01A175FA" w14:textId="51143D28" w:rsidR="002B76C4" w:rsidRPr="002B76C4" w:rsidRDefault="002B76C4" w:rsidP="002B76C4">
            <w:pPr>
              <w:jc w:val="center"/>
              <w:rPr>
                <w:rFonts w:ascii="Calibri" w:eastAsia="Times New Roman" w:hAnsi="Calibri" w:cs="Calibri"/>
                <w:b/>
                <w:bCs/>
                <w:i/>
                <w:iCs/>
                <w:color w:val="000000"/>
                <w:sz w:val="16"/>
                <w:szCs w:val="16"/>
                <w:lang w:val="en-IN" w:eastAsia="en-IN"/>
              </w:rPr>
            </w:pPr>
            <w:r w:rsidRPr="002B76C4">
              <w:rPr>
                <w:rFonts w:ascii="Calibri" w:eastAsia="Times New Roman" w:hAnsi="Calibri" w:cs="Calibri"/>
                <w:b/>
                <w:bCs/>
                <w:i/>
                <w:iCs/>
                <w:color w:val="000000"/>
                <w:sz w:val="16"/>
                <w:szCs w:val="16"/>
                <w:lang w:val="en-IN" w:eastAsia="en-IN"/>
              </w:rPr>
              <w:t>Sri Preethi A M</w:t>
            </w:r>
          </w:p>
          <w:p w14:paraId="2A37BA95" w14:textId="77777777" w:rsidR="002B76C4" w:rsidRPr="002B76C4" w:rsidRDefault="002B76C4" w:rsidP="002B76C4">
            <w:pPr>
              <w:jc w:val="center"/>
              <w:rPr>
                <w:rFonts w:ascii="Calibri" w:hAnsi="Calibri" w:cs="Calibri"/>
                <w:sz w:val="16"/>
                <w:szCs w:val="16"/>
                <w:lang w:val="en-IN"/>
              </w:rPr>
            </w:pPr>
            <w:r w:rsidRPr="002B76C4">
              <w:rPr>
                <w:rFonts w:ascii="Calibri" w:hAnsi="Calibri" w:cs="Calibri"/>
                <w:sz w:val="16"/>
                <w:szCs w:val="16"/>
                <w:lang w:val="en-IN"/>
              </w:rPr>
              <w:t>MBA, Student Faculty of Management Studies, CMS Business School</w:t>
            </w:r>
          </w:p>
          <w:p w14:paraId="50D06A17" w14:textId="2F0AB56E" w:rsidR="002B76C4" w:rsidRPr="002B76C4" w:rsidRDefault="002B76C4" w:rsidP="002B76C4">
            <w:pPr>
              <w:jc w:val="center"/>
              <w:rPr>
                <w:rFonts w:ascii="Calibri" w:hAnsi="Calibri" w:cs="Calibri"/>
                <w:sz w:val="16"/>
                <w:szCs w:val="16"/>
                <w:lang w:val="en-IN"/>
              </w:rPr>
            </w:pPr>
            <w:r w:rsidRPr="002B76C4">
              <w:rPr>
                <w:rFonts w:ascii="Calibri" w:hAnsi="Calibri" w:cs="Calibri"/>
                <w:sz w:val="16"/>
                <w:szCs w:val="16"/>
                <w:lang w:val="en-IN"/>
              </w:rPr>
              <w:t>JAIN (Deemed-to-be University), Bangalore.</w:t>
            </w:r>
          </w:p>
        </w:tc>
        <w:tc>
          <w:tcPr>
            <w:tcW w:w="3690" w:type="dxa"/>
          </w:tcPr>
          <w:p w14:paraId="648CED6B" w14:textId="77777777" w:rsidR="002B76C4" w:rsidRPr="002B76C4" w:rsidRDefault="002B76C4" w:rsidP="002B76C4">
            <w:pPr>
              <w:jc w:val="center"/>
              <w:rPr>
                <w:rFonts w:ascii="Calibri" w:eastAsia="Times New Roman" w:hAnsi="Calibri" w:cs="Calibri"/>
                <w:b/>
                <w:bCs/>
                <w:i/>
                <w:iCs/>
                <w:color w:val="000000"/>
                <w:sz w:val="16"/>
                <w:szCs w:val="16"/>
                <w:lang w:val="en-IN" w:eastAsia="en-IN"/>
              </w:rPr>
            </w:pPr>
            <w:r w:rsidRPr="002B76C4">
              <w:rPr>
                <w:rFonts w:ascii="Calibri" w:eastAsia="Times New Roman" w:hAnsi="Calibri" w:cs="Calibri"/>
                <w:b/>
                <w:bCs/>
                <w:i/>
                <w:iCs/>
                <w:color w:val="000000"/>
                <w:sz w:val="16"/>
                <w:szCs w:val="16"/>
                <w:lang w:val="en-IN" w:eastAsia="en-IN"/>
              </w:rPr>
              <w:t xml:space="preserve">Dr Srinivasan </w:t>
            </w:r>
            <w:proofErr w:type="spellStart"/>
            <w:r w:rsidRPr="002B76C4">
              <w:rPr>
                <w:rFonts w:ascii="Calibri" w:eastAsia="Times New Roman" w:hAnsi="Calibri" w:cs="Calibri"/>
                <w:b/>
                <w:bCs/>
                <w:i/>
                <w:iCs/>
                <w:color w:val="000000"/>
                <w:sz w:val="16"/>
                <w:szCs w:val="16"/>
                <w:lang w:val="en-IN" w:eastAsia="en-IN"/>
              </w:rPr>
              <w:t>Pazhamalai</w:t>
            </w:r>
            <w:proofErr w:type="spellEnd"/>
          </w:p>
          <w:p w14:paraId="0D7D04C8" w14:textId="77777777" w:rsidR="002B76C4" w:rsidRPr="002B76C4" w:rsidRDefault="002B76C4" w:rsidP="002B76C4">
            <w:pPr>
              <w:jc w:val="center"/>
              <w:rPr>
                <w:rFonts w:ascii="Calibri" w:hAnsi="Calibri" w:cs="Calibri"/>
                <w:sz w:val="16"/>
                <w:szCs w:val="16"/>
                <w:lang w:val="en-IN"/>
              </w:rPr>
            </w:pPr>
            <w:r w:rsidRPr="002B76C4">
              <w:rPr>
                <w:rFonts w:ascii="Calibri" w:hAnsi="Calibri" w:cs="Calibri"/>
                <w:sz w:val="16"/>
                <w:szCs w:val="16"/>
                <w:lang w:val="en-IN"/>
              </w:rPr>
              <w:t>Associate Professor, Faculty of Management Studies, CMS Business School</w:t>
            </w:r>
          </w:p>
          <w:p w14:paraId="6682C7D3" w14:textId="2CC8D11B" w:rsidR="002B76C4" w:rsidRPr="002B76C4" w:rsidRDefault="002B76C4" w:rsidP="002B76C4">
            <w:pPr>
              <w:jc w:val="center"/>
              <w:rPr>
                <w:rFonts w:ascii="Calibri" w:hAnsi="Calibri" w:cs="Calibri"/>
                <w:sz w:val="16"/>
                <w:szCs w:val="16"/>
                <w:lang w:val="en-IN"/>
              </w:rPr>
            </w:pPr>
            <w:r w:rsidRPr="002B76C4">
              <w:rPr>
                <w:rFonts w:ascii="Calibri" w:hAnsi="Calibri" w:cs="Calibri"/>
                <w:sz w:val="16"/>
                <w:szCs w:val="16"/>
                <w:lang w:val="en-IN"/>
              </w:rPr>
              <w:t xml:space="preserve">JAIN (Deemed-to-be University), Bangalore. </w:t>
            </w:r>
          </w:p>
        </w:tc>
      </w:tr>
    </w:tbl>
    <w:p w14:paraId="52F91175" w14:textId="77777777" w:rsidR="002B76C4" w:rsidRPr="002B76C4" w:rsidRDefault="002B76C4" w:rsidP="002B76C4">
      <w:pPr>
        <w:jc w:val="center"/>
      </w:pPr>
    </w:p>
    <w:p w14:paraId="6CA84800" w14:textId="77777777" w:rsidR="00085FDD" w:rsidRPr="002B76C4" w:rsidRDefault="009D12AD" w:rsidP="002B76C4">
      <w:pPr>
        <w:pStyle w:val="Heading1"/>
        <w:spacing w:before="0" w:line="240" w:lineRule="auto"/>
        <w:ind w:left="720" w:right="389"/>
        <w:jc w:val="center"/>
        <w:rPr>
          <w:rFonts w:ascii="Arial" w:hAnsi="Arial" w:cs="Arial"/>
          <w:i/>
          <w:iCs/>
          <w:color w:val="000000" w:themeColor="text1"/>
          <w:sz w:val="18"/>
          <w:szCs w:val="18"/>
        </w:rPr>
      </w:pPr>
      <w:r w:rsidRPr="002B76C4">
        <w:rPr>
          <w:rFonts w:ascii="Arial" w:hAnsi="Arial" w:cs="Arial"/>
          <w:i/>
          <w:iCs/>
          <w:color w:val="000000" w:themeColor="text1"/>
          <w:sz w:val="18"/>
          <w:szCs w:val="18"/>
        </w:rPr>
        <w:t>Abstract</w:t>
      </w:r>
    </w:p>
    <w:p w14:paraId="753316AF" w14:textId="77777777" w:rsidR="002B76C4" w:rsidRDefault="002B76C4" w:rsidP="002B76C4">
      <w:pPr>
        <w:pStyle w:val="Body"/>
        <w:spacing w:after="0" w:line="240" w:lineRule="auto"/>
        <w:ind w:left="720" w:right="389"/>
        <w:jc w:val="both"/>
        <w:rPr>
          <w:rFonts w:ascii="Arial" w:hAnsi="Arial" w:cs="Arial"/>
          <w:color w:val="000000" w:themeColor="text1"/>
          <w:sz w:val="18"/>
          <w:szCs w:val="18"/>
        </w:rPr>
      </w:pPr>
    </w:p>
    <w:p w14:paraId="3DB53339" w14:textId="05A06443" w:rsidR="00534937" w:rsidRDefault="00534937" w:rsidP="002B76C4">
      <w:pPr>
        <w:pStyle w:val="Body"/>
        <w:spacing w:after="0" w:line="240" w:lineRule="auto"/>
        <w:ind w:left="720" w:right="389"/>
        <w:jc w:val="both"/>
        <w:rPr>
          <w:rFonts w:ascii="Arial" w:hAnsi="Arial" w:cs="Arial"/>
          <w:color w:val="000000" w:themeColor="text1"/>
          <w:sz w:val="18"/>
          <w:szCs w:val="18"/>
        </w:rPr>
      </w:pPr>
      <w:r w:rsidRPr="002B76C4">
        <w:rPr>
          <w:rFonts w:ascii="Arial" w:hAnsi="Arial" w:cs="Arial"/>
          <w:color w:val="000000" w:themeColor="text1"/>
          <w:sz w:val="18"/>
          <w:szCs w:val="18"/>
        </w:rPr>
        <w:t>Vish U Mats Pvt Ltd works in India's coir mats industry, which is at the crossroads of traditional crafts and modern manufacturing.  The company turns coconut husk into eco-friendly mats that are backed by PVC and rubberized coir. It sells these mats to Europe, North America, and the Middle East.  Even though there is a lot of demand around the world for eco-friendly floor coverings, there are still risks to getting them: the availability of husks changes with the seasons, warehouse processes are still done by hand, and shipping is less reliable.  The decision problem is to come up with a phased improvement plan that increases throughput and accuracy, strengthens export positioning, and makes sustainability an economic advantage without going overboard with capacity.  The data pack has flow maps, current ratio, revenue and margin bands, and inventory turns.  Some of the options being looked at are inventory with barcodes and vertical storage, an ERP with IoT telemetry, diversifying raw materials and getting eco-certification, and using digital channels and distributors to promote the brand.  Learning goals include figuring out what is holding MSMEs back, calculating ROI, planning changes in a practical order, and creating differentiation based on sustainability.</w:t>
      </w:r>
    </w:p>
    <w:p w14:paraId="6EE4B9F0" w14:textId="77777777" w:rsidR="002B76C4" w:rsidRPr="002B76C4" w:rsidRDefault="002B76C4" w:rsidP="002B76C4">
      <w:pPr>
        <w:pStyle w:val="Body"/>
        <w:spacing w:after="0" w:line="240" w:lineRule="auto"/>
        <w:ind w:left="720" w:right="389"/>
        <w:jc w:val="both"/>
        <w:rPr>
          <w:rFonts w:ascii="Arial" w:hAnsi="Arial" w:cs="Arial"/>
          <w:color w:val="000000" w:themeColor="text1"/>
          <w:sz w:val="18"/>
          <w:szCs w:val="18"/>
        </w:rPr>
      </w:pPr>
    </w:p>
    <w:p w14:paraId="22949EF3" w14:textId="16510839" w:rsidR="00085FDD" w:rsidRDefault="009D12AD" w:rsidP="002B76C4">
      <w:pPr>
        <w:pStyle w:val="Body"/>
        <w:spacing w:after="0" w:line="240" w:lineRule="auto"/>
        <w:ind w:left="720" w:right="389"/>
        <w:jc w:val="both"/>
        <w:rPr>
          <w:rFonts w:ascii="Arial" w:hAnsi="Arial" w:cs="Arial"/>
          <w:color w:val="000000" w:themeColor="text1"/>
          <w:sz w:val="18"/>
          <w:szCs w:val="18"/>
        </w:rPr>
      </w:pPr>
      <w:r w:rsidRPr="002B76C4">
        <w:rPr>
          <w:rFonts w:ascii="Arial" w:hAnsi="Arial" w:cs="Arial"/>
          <w:b/>
          <w:color w:val="000000" w:themeColor="text1"/>
          <w:sz w:val="18"/>
          <w:szCs w:val="18"/>
        </w:rPr>
        <w:t>Keywords:</w:t>
      </w:r>
      <w:r w:rsidRPr="002B76C4">
        <w:rPr>
          <w:rFonts w:ascii="Arial" w:hAnsi="Arial" w:cs="Arial"/>
          <w:color w:val="000000" w:themeColor="text1"/>
          <w:sz w:val="18"/>
          <w:szCs w:val="18"/>
        </w:rPr>
        <w:t xml:space="preserve"> Coir industry, Sustainable materials, Warehouse digitization, ERP and IoT, Export branding</w:t>
      </w:r>
    </w:p>
    <w:p w14:paraId="65BB0160" w14:textId="77777777" w:rsidR="000F0C2E" w:rsidRDefault="000F0C2E" w:rsidP="000F0C2E">
      <w:pPr>
        <w:pStyle w:val="Body"/>
        <w:spacing w:after="0" w:line="240" w:lineRule="auto"/>
        <w:ind w:right="389"/>
        <w:jc w:val="both"/>
        <w:rPr>
          <w:rFonts w:ascii="Arial" w:hAnsi="Arial" w:cs="Arial"/>
          <w:b/>
          <w:color w:val="000000" w:themeColor="text1"/>
          <w:sz w:val="18"/>
          <w:szCs w:val="18"/>
        </w:rPr>
      </w:pPr>
    </w:p>
    <w:p w14:paraId="00D81B75" w14:textId="77777777" w:rsidR="000F0C2E" w:rsidRDefault="000F0C2E" w:rsidP="000F0C2E">
      <w:pPr>
        <w:pStyle w:val="Body"/>
        <w:spacing w:after="160"/>
        <w:ind w:right="389"/>
        <w:jc w:val="both"/>
        <w:rPr>
          <w:rFonts w:ascii="Arial" w:hAnsi="Arial" w:cs="Arial"/>
          <w:color w:val="000000" w:themeColor="text1"/>
        </w:rPr>
        <w:sectPr w:rsidR="000F0C2E" w:rsidSect="002B76C4">
          <w:headerReference w:type="even" r:id="rId9"/>
          <w:headerReference w:type="default" r:id="rId10"/>
          <w:pgSz w:w="11909" w:h="16834" w:code="9"/>
          <w:pgMar w:top="1440" w:right="1440" w:bottom="1440" w:left="1440" w:header="1008" w:footer="720" w:gutter="0"/>
          <w:cols w:space="720"/>
          <w:docGrid w:linePitch="360"/>
        </w:sectPr>
      </w:pPr>
    </w:p>
    <w:p w14:paraId="1C3CF50F" w14:textId="4955F5D8" w:rsidR="000F0C2E" w:rsidRPr="000F0C2E" w:rsidRDefault="000F0C2E" w:rsidP="000F0C2E">
      <w:pPr>
        <w:pStyle w:val="Body"/>
        <w:spacing w:after="160"/>
        <w:ind w:right="389"/>
        <w:jc w:val="center"/>
        <w:rPr>
          <w:rFonts w:ascii="Arial" w:hAnsi="Arial" w:cs="Arial"/>
          <w:b/>
          <w:bCs/>
          <w:caps/>
          <w:color w:val="000000" w:themeColor="text1"/>
          <w:sz w:val="24"/>
          <w:szCs w:val="24"/>
        </w:rPr>
      </w:pPr>
      <w:r w:rsidRPr="000F0C2E">
        <w:rPr>
          <w:rFonts w:ascii="Arial" w:hAnsi="Arial" w:cs="Arial"/>
          <w:b/>
          <w:bCs/>
          <w:caps/>
          <w:color w:val="000000" w:themeColor="text1"/>
          <w:sz w:val="24"/>
          <w:szCs w:val="24"/>
        </w:rPr>
        <w:lastRenderedPageBreak/>
        <w:t>Introduction</w:t>
      </w:r>
    </w:p>
    <w:p w14:paraId="69920F6C" w14:textId="77777777" w:rsidR="000F0C2E" w:rsidRPr="000F0C2E" w:rsidRDefault="000F0C2E" w:rsidP="000F0C2E">
      <w:pPr>
        <w:pStyle w:val="Body"/>
        <w:spacing w:after="160"/>
        <w:ind w:right="389" w:firstLine="720"/>
        <w:jc w:val="both"/>
        <w:rPr>
          <w:rFonts w:ascii="Arial" w:hAnsi="Arial" w:cs="Arial"/>
          <w:color w:val="000000" w:themeColor="text1"/>
        </w:rPr>
      </w:pPr>
      <w:r w:rsidRPr="000F0C2E">
        <w:rPr>
          <w:rFonts w:ascii="Arial" w:hAnsi="Arial" w:cs="Arial"/>
          <w:color w:val="000000" w:themeColor="text1"/>
        </w:rPr>
        <w:t xml:space="preserve">Vish U Mats works in India's coir clusters, which are at the crossroads of the need for modern manufacturing and the need for natural fibers to be sustainable.  Coir, made from coconut husks, has gone from being a low-value by-product to an eco-material used in floor coverings and composites. This is backed up by studies on its mechanical, thermal, and acoustic performance and its ability to break down (Hasan et al., 2021; </w:t>
      </w:r>
      <w:proofErr w:type="spellStart"/>
      <w:r w:rsidRPr="000F0C2E">
        <w:rPr>
          <w:rFonts w:ascii="Arial" w:hAnsi="Arial" w:cs="Arial"/>
          <w:color w:val="000000" w:themeColor="text1"/>
        </w:rPr>
        <w:t>Elfaleh</w:t>
      </w:r>
      <w:proofErr w:type="spellEnd"/>
      <w:r w:rsidRPr="000F0C2E">
        <w:rPr>
          <w:rFonts w:ascii="Arial" w:hAnsi="Arial" w:cs="Arial"/>
          <w:color w:val="000000" w:themeColor="text1"/>
        </w:rPr>
        <w:t xml:space="preserve"> et al., 2023; Ru et al., 2023; Nissar et al., 2025; Siregar et al., 2024).  Export buyers are looking for verifiable sustainability more and more, but the extra cost of eco-labels depends on the situation and may not be very high or specific to certain groups. This shows how important it is to have credible proof points and brand signaling (</w:t>
      </w:r>
      <w:proofErr w:type="spellStart"/>
      <w:r w:rsidRPr="000F0C2E">
        <w:rPr>
          <w:rFonts w:ascii="Arial" w:hAnsi="Arial" w:cs="Arial"/>
          <w:color w:val="000000" w:themeColor="text1"/>
        </w:rPr>
        <w:t>Sedjo</w:t>
      </w:r>
      <w:proofErr w:type="spellEnd"/>
      <w:r w:rsidRPr="000F0C2E">
        <w:rPr>
          <w:rFonts w:ascii="Arial" w:hAnsi="Arial" w:cs="Arial"/>
          <w:color w:val="000000" w:themeColor="text1"/>
        </w:rPr>
        <w:t xml:space="preserve"> </w:t>
      </w:r>
      <w:r w:rsidRPr="000F0C2E">
        <w:rPr>
          <w:rFonts w:ascii="Arial" w:hAnsi="Arial" w:cs="Arial"/>
          <w:color w:val="000000" w:themeColor="text1"/>
        </w:rPr>
        <w:lastRenderedPageBreak/>
        <w:t>&amp; Swallow, 2002; Nygaard et al., 2023).</w:t>
      </w:r>
    </w:p>
    <w:p w14:paraId="23668D4F" w14:textId="01C539C3"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 xml:space="preserve"> </w:t>
      </w:r>
      <w:r>
        <w:rPr>
          <w:rFonts w:ascii="Arial" w:hAnsi="Arial" w:cs="Arial"/>
          <w:color w:val="000000" w:themeColor="text1"/>
        </w:rPr>
        <w:tab/>
      </w:r>
      <w:r w:rsidRPr="000F0C2E">
        <w:rPr>
          <w:rFonts w:ascii="Arial" w:hAnsi="Arial" w:cs="Arial"/>
          <w:color w:val="000000" w:themeColor="text1"/>
        </w:rPr>
        <w:t xml:space="preserve">MSMEs have problems with information delays and changes during the order-to-dispatch process. Research shows that barcode/WMS, slotting optimization, and order-picking 4.0 technologies can help reduce errors and speed up cycle times (Zaman et al., 2023; Duque-Jaramillo et al., 2024; </w:t>
      </w:r>
      <w:proofErr w:type="spellStart"/>
      <w:r w:rsidRPr="000F0C2E">
        <w:rPr>
          <w:rFonts w:ascii="Arial" w:hAnsi="Arial" w:cs="Arial"/>
          <w:color w:val="000000" w:themeColor="text1"/>
        </w:rPr>
        <w:t>Winkelhaus</w:t>
      </w:r>
      <w:proofErr w:type="spellEnd"/>
      <w:r w:rsidRPr="000F0C2E">
        <w:rPr>
          <w:rFonts w:ascii="Arial" w:hAnsi="Arial" w:cs="Arial"/>
          <w:color w:val="000000" w:themeColor="text1"/>
        </w:rPr>
        <w:t xml:space="preserve"> &amp; Grosse, 2021).  To improve visibility and reduce data latency, small and medium-sized businesses (SMEs) are using ERP/</w:t>
      </w:r>
      <w:proofErr w:type="spellStart"/>
      <w:r w:rsidRPr="000F0C2E">
        <w:rPr>
          <w:rFonts w:ascii="Arial" w:hAnsi="Arial" w:cs="Arial"/>
          <w:color w:val="000000" w:themeColor="text1"/>
        </w:rPr>
        <w:t>IIoT</w:t>
      </w:r>
      <w:proofErr w:type="spellEnd"/>
      <w:r w:rsidRPr="000F0C2E">
        <w:rPr>
          <w:rFonts w:ascii="Arial" w:hAnsi="Arial" w:cs="Arial"/>
          <w:color w:val="000000" w:themeColor="text1"/>
        </w:rPr>
        <w:t xml:space="preserve"> for digitization. However, success depends on having a staged scope and the ability to make changes (</w:t>
      </w:r>
      <w:proofErr w:type="spellStart"/>
      <w:r w:rsidRPr="000F0C2E">
        <w:rPr>
          <w:rFonts w:ascii="Arial" w:hAnsi="Arial" w:cs="Arial"/>
          <w:color w:val="000000" w:themeColor="text1"/>
        </w:rPr>
        <w:t>Basu</w:t>
      </w:r>
      <w:proofErr w:type="spellEnd"/>
      <w:r w:rsidRPr="000F0C2E">
        <w:rPr>
          <w:rFonts w:ascii="Arial" w:hAnsi="Arial" w:cs="Arial"/>
          <w:color w:val="000000" w:themeColor="text1"/>
        </w:rPr>
        <w:t xml:space="preserve">, 2012; </w:t>
      </w:r>
      <w:proofErr w:type="spellStart"/>
      <w:r w:rsidRPr="000F0C2E">
        <w:rPr>
          <w:rFonts w:ascii="Arial" w:hAnsi="Arial" w:cs="Arial"/>
          <w:color w:val="000000" w:themeColor="text1"/>
        </w:rPr>
        <w:t>Gessa</w:t>
      </w:r>
      <w:proofErr w:type="spellEnd"/>
      <w:r w:rsidRPr="000F0C2E">
        <w:rPr>
          <w:rFonts w:ascii="Arial" w:hAnsi="Arial" w:cs="Arial"/>
          <w:color w:val="000000" w:themeColor="text1"/>
        </w:rPr>
        <w:t xml:space="preserve"> et al., 2023; Shah et al., 2024).  The management challenge is to create a 12–18</w:t>
      </w:r>
      <w:r w:rsidRPr="000F0C2E">
        <w:rPr>
          <w:rFonts w:ascii="Cambria Math" w:hAnsi="Cambria Math" w:cs="Cambria Math"/>
          <w:color w:val="000000" w:themeColor="text1"/>
        </w:rPr>
        <w:t>‑</w:t>
      </w:r>
      <w:r w:rsidRPr="000F0C2E">
        <w:rPr>
          <w:rFonts w:ascii="Arial" w:hAnsi="Arial" w:cs="Arial"/>
          <w:color w:val="000000" w:themeColor="text1"/>
        </w:rPr>
        <w:t xml:space="preserve">month, low-capital roadmap that links barcode-enabled inventory, MSME-compatible ERP modules, basic IoT telemetry for quality </w:t>
      </w:r>
      <w:r w:rsidRPr="000F0C2E">
        <w:rPr>
          <w:rFonts w:ascii="Arial" w:hAnsi="Arial" w:cs="Arial"/>
          <w:color w:val="000000" w:themeColor="text1"/>
        </w:rPr>
        <w:lastRenderedPageBreak/>
        <w:t>stability, and export-branding activation to traceability claims.</w:t>
      </w:r>
    </w:p>
    <w:p w14:paraId="3047D8D5" w14:textId="06459C99"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 xml:space="preserve"> </w:t>
      </w:r>
      <w:r>
        <w:rPr>
          <w:rFonts w:ascii="Arial" w:hAnsi="Arial" w:cs="Arial"/>
          <w:color w:val="000000" w:themeColor="text1"/>
        </w:rPr>
        <w:tab/>
      </w:r>
      <w:r w:rsidRPr="000F0C2E">
        <w:rPr>
          <w:rFonts w:ascii="Arial" w:hAnsi="Arial" w:cs="Arial"/>
          <w:color w:val="000000" w:themeColor="text1"/>
        </w:rPr>
        <w:t>Students get a short data pack with information about financial bands, export mix, and inventory turns, as well as a flow map showing the current state of things.  They need to find out where time and accuracy are lost, figure out how much money they will save by digitizing the warehouse and using ERP, and come up with a plan for sustainability, differentiation, and traceability that buyers will be happy with.  A weekly scorecard focused on OTIF, picking/inventory accuracy, rework hours per order, and lead times puts learning into action and allows for ongoing improvement (Tian &amp; Chen, 2024; Soroka et al., 2021).  The case concludes by requiring learners to rationalize a phased plan and to identify the governance and change enablers that transform sustainability from a narrative into a quantifiable benefit.</w:t>
      </w:r>
    </w:p>
    <w:p w14:paraId="4F5621A5" w14:textId="77777777" w:rsidR="000F0C2E" w:rsidRPr="000F0C2E" w:rsidRDefault="000F0C2E" w:rsidP="000F0C2E">
      <w:pPr>
        <w:pStyle w:val="Body"/>
        <w:spacing w:after="160"/>
        <w:ind w:right="389"/>
        <w:jc w:val="both"/>
        <w:rPr>
          <w:rFonts w:ascii="Arial" w:hAnsi="Arial" w:cs="Arial"/>
          <w:b/>
          <w:bCs/>
          <w:color w:val="000000" w:themeColor="text1"/>
        </w:rPr>
      </w:pPr>
      <w:r w:rsidRPr="000F0C2E">
        <w:rPr>
          <w:rFonts w:ascii="Arial" w:hAnsi="Arial" w:cs="Arial"/>
          <w:b/>
          <w:bCs/>
          <w:color w:val="000000" w:themeColor="text1"/>
        </w:rPr>
        <w:t>About Coir and Coir Mats Industry</w:t>
      </w:r>
    </w:p>
    <w:p w14:paraId="36558E9C" w14:textId="77777777" w:rsidR="000F0C2E" w:rsidRPr="000F0C2E" w:rsidRDefault="000F0C2E" w:rsidP="000F0C2E">
      <w:pPr>
        <w:pStyle w:val="Body"/>
        <w:spacing w:after="160"/>
        <w:ind w:right="389" w:firstLine="720"/>
        <w:jc w:val="both"/>
        <w:rPr>
          <w:rFonts w:ascii="Arial" w:hAnsi="Arial" w:cs="Arial"/>
          <w:color w:val="000000" w:themeColor="text1"/>
        </w:rPr>
      </w:pPr>
      <w:r w:rsidRPr="000F0C2E">
        <w:rPr>
          <w:rFonts w:ascii="Arial" w:hAnsi="Arial" w:cs="Arial"/>
          <w:color w:val="000000" w:themeColor="text1"/>
        </w:rPr>
        <w:t xml:space="preserve">India is the center of the world coir economy, producing about 63% of the world's coir and having well-established clusters in Tamil Nadu and Kerala. Coir fiber is a sustainable alternative for floor coverings and composites because it is biodegradable and strong for its weight (Hasan et al., 2021; </w:t>
      </w:r>
      <w:proofErr w:type="spellStart"/>
      <w:r w:rsidRPr="000F0C2E">
        <w:rPr>
          <w:rFonts w:ascii="Arial" w:hAnsi="Arial" w:cs="Arial"/>
          <w:color w:val="000000" w:themeColor="text1"/>
        </w:rPr>
        <w:t>TechScience</w:t>
      </w:r>
      <w:proofErr w:type="spellEnd"/>
      <w:r w:rsidRPr="000F0C2E">
        <w:rPr>
          <w:rFonts w:ascii="Arial" w:hAnsi="Arial" w:cs="Arial"/>
          <w:color w:val="000000" w:themeColor="text1"/>
        </w:rPr>
        <w:t xml:space="preserve"> JRM Review, 2024).  Value chains include collecting husks, retting/defibering, spinning, matting/tufting, backing, finishing, and logistics for exporting. MSMEs and artisanal units are the main players in upstream processing.  Eco-conscious consumers and living-shoreline uses affect demand, but durability and price comparisons with polypropylene/PVC are still important factors that limit competition (</w:t>
      </w:r>
      <w:proofErr w:type="spellStart"/>
      <w:r w:rsidRPr="000F0C2E">
        <w:rPr>
          <w:rFonts w:ascii="Arial" w:hAnsi="Arial" w:cs="Arial"/>
          <w:color w:val="000000" w:themeColor="text1"/>
        </w:rPr>
        <w:t>Elfaleh</w:t>
      </w:r>
      <w:proofErr w:type="spellEnd"/>
      <w:r w:rsidRPr="000F0C2E">
        <w:rPr>
          <w:rFonts w:ascii="Arial" w:hAnsi="Arial" w:cs="Arial"/>
          <w:color w:val="000000" w:themeColor="text1"/>
        </w:rPr>
        <w:t xml:space="preserve"> et </w:t>
      </w:r>
      <w:r w:rsidRPr="000F0C2E">
        <w:rPr>
          <w:rFonts w:ascii="Arial" w:hAnsi="Arial" w:cs="Arial"/>
          <w:color w:val="000000" w:themeColor="text1"/>
        </w:rPr>
        <w:lastRenderedPageBreak/>
        <w:t>al., 2023).  In export markets, expectations for certification and traceability are higher. This means that claims about where a product comes from and how it was made must be backed up with proof. However, evidence on the price premiums of eco-labels is still mixed (</w:t>
      </w:r>
      <w:proofErr w:type="spellStart"/>
      <w:r w:rsidRPr="000F0C2E">
        <w:rPr>
          <w:rFonts w:ascii="Arial" w:hAnsi="Arial" w:cs="Arial"/>
          <w:color w:val="000000" w:themeColor="text1"/>
        </w:rPr>
        <w:t>Sedjo</w:t>
      </w:r>
      <w:proofErr w:type="spellEnd"/>
      <w:r w:rsidRPr="000F0C2E">
        <w:rPr>
          <w:rFonts w:ascii="Arial" w:hAnsi="Arial" w:cs="Arial"/>
          <w:color w:val="000000" w:themeColor="text1"/>
        </w:rPr>
        <w:t xml:space="preserve"> &amp; Swallow, 2002; Nygaard et al., 2023).  Uneven digitization makes it hard to see inventory and work in progress; research on WMS/barcodes and slotting shows that SMEs can improve accuracy and throughput, which is important for peak-season order spikes (Duque-Jaramillo et al., 2024).  In the next five years, growth will depend on lowering process variability, making warehouses and dispatching more reliable (OTIF), and making sure that sustainability stories match up with measurable performance metrics and trustworthy certifications (Tian &amp; Chen, 2024).</w:t>
      </w:r>
    </w:p>
    <w:p w14:paraId="0B4CBE15" w14:textId="77777777" w:rsidR="000F0C2E" w:rsidRPr="000F0C2E" w:rsidRDefault="000F0C2E" w:rsidP="000F0C2E">
      <w:pPr>
        <w:pStyle w:val="Body"/>
        <w:spacing w:after="160"/>
        <w:ind w:right="389"/>
        <w:jc w:val="both"/>
        <w:rPr>
          <w:rFonts w:ascii="Arial" w:hAnsi="Arial" w:cs="Arial"/>
          <w:b/>
          <w:bCs/>
          <w:color w:val="000000" w:themeColor="text1"/>
        </w:rPr>
      </w:pPr>
      <w:r w:rsidRPr="000F0C2E">
        <w:rPr>
          <w:rFonts w:ascii="Arial" w:hAnsi="Arial" w:cs="Arial"/>
          <w:b/>
          <w:bCs/>
          <w:color w:val="000000" w:themeColor="text1"/>
        </w:rPr>
        <w:t xml:space="preserve">Problems with Coir and Coir Mats Industry </w:t>
      </w:r>
    </w:p>
    <w:p w14:paraId="1A24E314" w14:textId="77777777" w:rsidR="000F0C2E" w:rsidRPr="000F0C2E" w:rsidRDefault="000F0C2E" w:rsidP="000F0C2E">
      <w:pPr>
        <w:pStyle w:val="Body"/>
        <w:spacing w:after="160"/>
        <w:ind w:right="389" w:firstLine="720"/>
        <w:jc w:val="both"/>
        <w:rPr>
          <w:rFonts w:ascii="Arial" w:hAnsi="Arial" w:cs="Arial"/>
          <w:color w:val="000000" w:themeColor="text1"/>
        </w:rPr>
      </w:pPr>
      <w:r w:rsidRPr="000F0C2E">
        <w:rPr>
          <w:rFonts w:ascii="Arial" w:hAnsi="Arial" w:cs="Arial"/>
          <w:color w:val="000000" w:themeColor="text1"/>
        </w:rPr>
        <w:t xml:space="preserve">India's coir and coir-mats industry has a lot of problems that start at the top and get worse as they go down. These problems include seasonal, geographically concentrated husk availability, cost volatility, quality dispersion, and occasional stockouts.  Because production is split up between artisanal units and MSMEs, it is hard to standardize processes. This means that the quality of the fiber, the adhesion of the backing, and the consistency of the finishing can all be different from batch to batch, making it harder to follow export rules and manage returns.  Small producers have trouble covering the costs of certification and audits (eco-claims, due diligence, REACH/PVC restrictions where they apply), and </w:t>
      </w:r>
      <w:r w:rsidRPr="000F0C2E">
        <w:rPr>
          <w:rFonts w:ascii="Arial" w:hAnsi="Arial" w:cs="Arial"/>
          <w:color w:val="000000" w:themeColor="text1"/>
        </w:rPr>
        <w:lastRenderedPageBreak/>
        <w:t>buyers expect better record-keeping than what is currently available.  Competition from synthetic alternatives, aided by scale and brand recognition, increases price pressure and raises expectations for durability and stain performance.  In plants and warehouses, using paper-based materials to control and ad-hoc slotting leads to picking mistakes, long search times, and traffic jams at dispatch cut-offs, especially when demand is high during the holidays.  Limited cubic utilization and restricted capital expenditures impede flow redesign.  Logistics makes things harder: clusters are far from some ports and rely on road transport, which can be affected by monsoon storms and sudden changes in fuel prices.  Long working-capital cycles mean that export receivables and raw-material prepayments make cash flow tight just when buffers are needed to handle seasonal changes.  Digital adoption is still uneven. Many businesses do their accounting without being able to see their inventory or work in progress, which makes it harder to rely on OTIF and keep improving.  Lastly, marketing problems like weak distributor networks, a small online presence, and weak sustainability signaling make it harder for producers to pull in advanced markets. Instead of building unique, evidence-based positions, they have to respond to price-led tenders.  These structural frictions limit productivity gains, narrow margins, and slow the adoption of credible, high-end eco-brands abroad.</w:t>
      </w:r>
    </w:p>
    <w:p w14:paraId="142839A1" w14:textId="77777777" w:rsidR="000F0C2E" w:rsidRPr="000F0C2E" w:rsidRDefault="000F0C2E" w:rsidP="000F0C2E">
      <w:pPr>
        <w:pStyle w:val="Body"/>
        <w:spacing w:after="160"/>
        <w:ind w:right="389"/>
        <w:jc w:val="both"/>
        <w:rPr>
          <w:rFonts w:ascii="Arial" w:hAnsi="Arial" w:cs="Arial"/>
          <w:b/>
          <w:bCs/>
          <w:color w:val="000000" w:themeColor="text1"/>
        </w:rPr>
      </w:pPr>
      <w:r w:rsidRPr="000F0C2E">
        <w:rPr>
          <w:rFonts w:ascii="Arial" w:hAnsi="Arial" w:cs="Arial"/>
          <w:b/>
          <w:bCs/>
          <w:color w:val="000000" w:themeColor="text1"/>
        </w:rPr>
        <w:t>About Vish U Mats</w:t>
      </w:r>
    </w:p>
    <w:p w14:paraId="66379447" w14:textId="77777777" w:rsidR="000F0C2E" w:rsidRDefault="000F0C2E" w:rsidP="000F0C2E">
      <w:pPr>
        <w:pStyle w:val="Body"/>
        <w:spacing w:after="160"/>
        <w:ind w:right="389" w:firstLine="720"/>
        <w:jc w:val="both"/>
        <w:rPr>
          <w:rFonts w:ascii="Arial" w:hAnsi="Arial" w:cs="Arial"/>
          <w:color w:val="000000" w:themeColor="text1"/>
        </w:rPr>
      </w:pPr>
      <w:r w:rsidRPr="000F0C2E">
        <w:rPr>
          <w:rFonts w:ascii="Arial" w:hAnsi="Arial" w:cs="Arial"/>
          <w:color w:val="000000" w:themeColor="text1"/>
        </w:rPr>
        <w:t xml:space="preserve">Vish U Mats Pvt Ltd makes rubberized coir, PVC-backed, and eco-friendly coir mats for both the domestic and export markets (Europe, North </w:t>
      </w:r>
      <w:r w:rsidRPr="000F0C2E">
        <w:rPr>
          <w:rFonts w:ascii="Arial" w:hAnsi="Arial" w:cs="Arial"/>
          <w:color w:val="000000" w:themeColor="text1"/>
        </w:rPr>
        <w:lastRenderedPageBreak/>
        <w:t>America, and the Middle East).  At the MSME level, operations depend on batch processing, manual stores management, and paper-based documentation, which is common for Indian SMEs moving to Industry 4.0.  The company's decision agenda—improving dispatch reliability, lowering inventory errors, stabilizing quality, and professionalizing export channels—fits with research that shows that staged ERP adoption lowers data latency and improves cross-functional visibility. However, SMEs need to be strict about their scope (</w:t>
      </w:r>
      <w:proofErr w:type="spellStart"/>
      <w:r w:rsidRPr="000F0C2E">
        <w:rPr>
          <w:rFonts w:ascii="Arial" w:hAnsi="Arial" w:cs="Arial"/>
          <w:color w:val="000000" w:themeColor="text1"/>
        </w:rPr>
        <w:t>Basu</w:t>
      </w:r>
      <w:proofErr w:type="spellEnd"/>
      <w:r w:rsidRPr="000F0C2E">
        <w:rPr>
          <w:rFonts w:ascii="Arial" w:hAnsi="Arial" w:cs="Arial"/>
          <w:color w:val="000000" w:themeColor="text1"/>
        </w:rPr>
        <w:t xml:space="preserve">, 2012; </w:t>
      </w:r>
      <w:proofErr w:type="spellStart"/>
      <w:r w:rsidRPr="000F0C2E">
        <w:rPr>
          <w:rFonts w:ascii="Arial" w:hAnsi="Arial" w:cs="Arial"/>
          <w:color w:val="000000" w:themeColor="text1"/>
        </w:rPr>
        <w:t>Gessa</w:t>
      </w:r>
      <w:proofErr w:type="spellEnd"/>
      <w:r w:rsidRPr="000F0C2E">
        <w:rPr>
          <w:rFonts w:ascii="Arial" w:hAnsi="Arial" w:cs="Arial"/>
          <w:color w:val="000000" w:themeColor="text1"/>
        </w:rPr>
        <w:t xml:space="preserve"> et al., 2023).  Using barcodes/WMS and slotting practices cuts down on </w:t>
      </w:r>
      <w:proofErr w:type="spellStart"/>
      <w:r w:rsidRPr="000F0C2E">
        <w:rPr>
          <w:rFonts w:ascii="Arial" w:hAnsi="Arial" w:cs="Arial"/>
          <w:color w:val="000000" w:themeColor="text1"/>
        </w:rPr>
        <w:t>mispicks</w:t>
      </w:r>
      <w:proofErr w:type="spellEnd"/>
      <w:r w:rsidRPr="000F0C2E">
        <w:rPr>
          <w:rFonts w:ascii="Arial" w:hAnsi="Arial" w:cs="Arial"/>
          <w:color w:val="000000" w:themeColor="text1"/>
        </w:rPr>
        <w:t xml:space="preserve"> and travel waste, which speeds up picking and improves accuracy. Order-picking 4.0 adds low-cost digital tools that help new employees learn faster (Zaman et al., 2023; Duque-Jaramillo et al., 2024; </w:t>
      </w:r>
      <w:proofErr w:type="spellStart"/>
      <w:r w:rsidRPr="000F0C2E">
        <w:rPr>
          <w:rFonts w:ascii="Arial" w:hAnsi="Arial" w:cs="Arial"/>
          <w:color w:val="000000" w:themeColor="text1"/>
        </w:rPr>
        <w:t>Winkelhaus</w:t>
      </w:r>
      <w:proofErr w:type="spellEnd"/>
      <w:r w:rsidRPr="000F0C2E">
        <w:rPr>
          <w:rFonts w:ascii="Arial" w:hAnsi="Arial" w:cs="Arial"/>
          <w:color w:val="000000" w:themeColor="text1"/>
        </w:rPr>
        <w:t xml:space="preserve"> &amp; Grosse, 2021).  Basic </w:t>
      </w:r>
      <w:proofErr w:type="spellStart"/>
      <w:r w:rsidRPr="000F0C2E">
        <w:rPr>
          <w:rFonts w:ascii="Arial" w:hAnsi="Arial" w:cs="Arial"/>
          <w:color w:val="000000" w:themeColor="text1"/>
        </w:rPr>
        <w:t>IIoT</w:t>
      </w:r>
      <w:proofErr w:type="spellEnd"/>
      <w:r w:rsidRPr="000F0C2E">
        <w:rPr>
          <w:rFonts w:ascii="Arial" w:hAnsi="Arial" w:cs="Arial"/>
          <w:color w:val="000000" w:themeColor="text1"/>
        </w:rPr>
        <w:t xml:space="preserve"> telemetry (temperature/humidity) helps keep quality stable for backing adhesion and storage integrity. Small and medium-sized businesses (SMEs) will adopt it if they think it will be useful, easy to use, and help them build their skills (Shah et al., 2024).  On the business side, eco-labels and traceability can make something seem more valuable if the claims are true and aimed at people who are likely to buy it. However, price premiums are not always guaranteed and must be tested (Nygaard et al., 2023; </w:t>
      </w:r>
      <w:proofErr w:type="spellStart"/>
      <w:r w:rsidRPr="000F0C2E">
        <w:rPr>
          <w:rFonts w:ascii="Arial" w:hAnsi="Arial" w:cs="Arial"/>
          <w:color w:val="000000" w:themeColor="text1"/>
        </w:rPr>
        <w:t>Sedjo</w:t>
      </w:r>
      <w:proofErr w:type="spellEnd"/>
      <w:r w:rsidRPr="000F0C2E">
        <w:rPr>
          <w:rFonts w:ascii="Arial" w:hAnsi="Arial" w:cs="Arial"/>
          <w:color w:val="000000" w:themeColor="text1"/>
        </w:rPr>
        <w:t xml:space="preserve"> &amp; Swallow, 2002; Charlebois et al., 2024).  The company's roadmap, then, focuses on capital-light digitization, selective certification, and careful channel activation based on performance evidence.</w:t>
      </w:r>
    </w:p>
    <w:p w14:paraId="77B40A5A" w14:textId="77777777" w:rsidR="000F0C2E" w:rsidRDefault="000F0C2E" w:rsidP="000F0C2E">
      <w:pPr>
        <w:pStyle w:val="Body"/>
        <w:spacing w:after="160"/>
        <w:ind w:right="389" w:firstLine="720"/>
        <w:jc w:val="both"/>
        <w:rPr>
          <w:rFonts w:ascii="Arial" w:hAnsi="Arial" w:cs="Arial"/>
          <w:color w:val="000000" w:themeColor="text1"/>
        </w:rPr>
      </w:pPr>
    </w:p>
    <w:p w14:paraId="3CC6B3D4" w14:textId="77777777" w:rsidR="000F0C2E" w:rsidRPr="000F0C2E" w:rsidRDefault="000F0C2E" w:rsidP="000F0C2E">
      <w:pPr>
        <w:pStyle w:val="Body"/>
        <w:spacing w:after="160"/>
        <w:ind w:right="389" w:firstLine="720"/>
        <w:jc w:val="both"/>
        <w:rPr>
          <w:rFonts w:ascii="Arial" w:hAnsi="Arial" w:cs="Arial"/>
          <w:color w:val="000000" w:themeColor="text1"/>
        </w:rPr>
      </w:pPr>
    </w:p>
    <w:p w14:paraId="7D4049DF" w14:textId="77777777" w:rsidR="000F0C2E" w:rsidRPr="000F0C2E" w:rsidRDefault="000F0C2E" w:rsidP="000F0C2E">
      <w:pPr>
        <w:pStyle w:val="Body"/>
        <w:spacing w:after="160"/>
        <w:ind w:right="389"/>
        <w:jc w:val="both"/>
        <w:rPr>
          <w:rFonts w:ascii="Arial" w:hAnsi="Arial" w:cs="Arial"/>
          <w:b/>
          <w:bCs/>
          <w:color w:val="000000" w:themeColor="text1"/>
        </w:rPr>
      </w:pPr>
      <w:r w:rsidRPr="000F0C2E">
        <w:rPr>
          <w:rFonts w:ascii="Arial" w:hAnsi="Arial" w:cs="Arial"/>
          <w:b/>
          <w:bCs/>
          <w:color w:val="000000" w:themeColor="text1"/>
        </w:rPr>
        <w:lastRenderedPageBreak/>
        <w:t>Problems faced by Vish U Mats</w:t>
      </w:r>
    </w:p>
    <w:p w14:paraId="265EE74D" w14:textId="77777777" w:rsidR="000F0C2E" w:rsidRPr="000F0C2E" w:rsidRDefault="000F0C2E" w:rsidP="000F0C2E">
      <w:pPr>
        <w:pStyle w:val="Body"/>
        <w:spacing w:after="160"/>
        <w:ind w:right="389" w:firstLine="720"/>
        <w:jc w:val="both"/>
        <w:rPr>
          <w:rFonts w:ascii="Arial" w:hAnsi="Arial" w:cs="Arial"/>
          <w:color w:val="000000" w:themeColor="text1"/>
        </w:rPr>
      </w:pPr>
      <w:r w:rsidRPr="000F0C2E">
        <w:rPr>
          <w:rFonts w:ascii="Arial" w:hAnsi="Arial" w:cs="Arial"/>
          <w:color w:val="000000" w:themeColor="text1"/>
        </w:rPr>
        <w:t xml:space="preserve">Vish U Mats' performance problems come from an order-to-dispatch flow that is heavy on paperwork, which makes small mistakes into expensive rework and late trucks.  Ledgers and spreadsheets keep track of goods receipt, </w:t>
      </w:r>
      <w:proofErr w:type="spellStart"/>
      <w:r w:rsidRPr="000F0C2E">
        <w:rPr>
          <w:rFonts w:ascii="Arial" w:hAnsi="Arial" w:cs="Arial"/>
          <w:color w:val="000000" w:themeColor="text1"/>
        </w:rPr>
        <w:t>putaway</w:t>
      </w:r>
      <w:proofErr w:type="spellEnd"/>
      <w:r w:rsidRPr="000F0C2E">
        <w:rPr>
          <w:rFonts w:ascii="Arial" w:hAnsi="Arial" w:cs="Arial"/>
          <w:color w:val="000000" w:themeColor="text1"/>
        </w:rPr>
        <w:t xml:space="preserve">, and picking. Without location discipline or barcodes, staff have to rely on memory, which leads to </w:t>
      </w:r>
      <w:proofErr w:type="spellStart"/>
      <w:r w:rsidRPr="000F0C2E">
        <w:rPr>
          <w:rFonts w:ascii="Arial" w:hAnsi="Arial" w:cs="Arial"/>
          <w:color w:val="000000" w:themeColor="text1"/>
        </w:rPr>
        <w:t>mispicks</w:t>
      </w:r>
      <w:proofErr w:type="spellEnd"/>
      <w:r w:rsidRPr="000F0C2E">
        <w:rPr>
          <w:rFonts w:ascii="Arial" w:hAnsi="Arial" w:cs="Arial"/>
          <w:color w:val="000000" w:themeColor="text1"/>
        </w:rPr>
        <w:t xml:space="preserve">, long search times, and staging congestion.  There isn't much room in the warehouse, and stacking things on the floor takes up a lot of space. During busy times, the aisles get clogged, and urgent export orders come before planned waves, which increases the risk of overtime and defects.  Cycle counts often need to be changed because inventory records don't match up with what is actually in stock. This makes planners less confident and increases safety stock.  Production and stores don't have a shared, real-time status; managers find out about shortages or delays late, which shortens dispatch buffers and moves quality checks to the dock.  Environmental conditions for finishing and storage aren't always checked, so changes in humidity can affect how well the backing sticks and how strong the packaging is, which can lead to returns in humid areas.  The brand's digital presence is small, there aren't many channel partners, and the claims about sustainability aren't backed up well enough, which makes it hard to get leads and sales in advanced markets.  When husk or latex tightens, landed costs go up and volumes go down, just like when receivables stretch on export invoices. This is because raw material sourcing is concentrated in certain places and times of the year.  Capacity for change is limited. If you don't plan </w:t>
      </w:r>
      <w:r w:rsidRPr="000F0C2E">
        <w:rPr>
          <w:rFonts w:ascii="Arial" w:hAnsi="Arial" w:cs="Arial"/>
          <w:color w:val="000000" w:themeColor="text1"/>
        </w:rPr>
        <w:lastRenderedPageBreak/>
        <w:t>carefully, adding ERP or WMS can lead to over-scoping, training fatigue, and disruption.  All of these limits lead to a pattern of fluctuating OTIF, more hours spent on rework per order, slower cash conversion, and an opportunity cost. There is credible green differentiation, but operational proof points and timely, reliable delivery have not yet consistently supported it.</w:t>
      </w:r>
    </w:p>
    <w:p w14:paraId="21DC2F0B"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Key strategies followed by Vish U Mats</w:t>
      </w:r>
    </w:p>
    <w:p w14:paraId="17058A12"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1) Warehouse &amp; Inventory (0–90 days)</w:t>
      </w:r>
    </w:p>
    <w:p w14:paraId="4A8E9C8B"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What: Barcode scanning, vertical racking, ABC</w:t>
      </w:r>
      <w:r w:rsidRPr="000F0C2E">
        <w:rPr>
          <w:rFonts w:ascii="Cambria Math" w:hAnsi="Cambria Math" w:cs="Cambria Math"/>
          <w:color w:val="000000" w:themeColor="text1"/>
        </w:rPr>
        <w:t>‑</w:t>
      </w:r>
      <w:r w:rsidRPr="000F0C2E">
        <w:rPr>
          <w:rFonts w:ascii="Arial" w:hAnsi="Arial" w:cs="Arial"/>
          <w:color w:val="000000" w:themeColor="text1"/>
        </w:rPr>
        <w:t>based slotting; dispatch scheduler and proof</w:t>
      </w:r>
      <w:r w:rsidRPr="000F0C2E">
        <w:rPr>
          <w:rFonts w:ascii="Cambria Math" w:hAnsi="Cambria Math" w:cs="Cambria Math"/>
          <w:color w:val="000000" w:themeColor="text1"/>
        </w:rPr>
        <w:t>‑</w:t>
      </w:r>
      <w:r w:rsidRPr="000F0C2E">
        <w:rPr>
          <w:rFonts w:ascii="Arial" w:hAnsi="Arial" w:cs="Arial"/>
          <w:color w:val="000000" w:themeColor="text1"/>
        </w:rPr>
        <w:t>of</w:t>
      </w:r>
      <w:r w:rsidRPr="000F0C2E">
        <w:rPr>
          <w:rFonts w:ascii="Cambria Math" w:hAnsi="Cambria Math" w:cs="Cambria Math"/>
          <w:color w:val="000000" w:themeColor="text1"/>
        </w:rPr>
        <w:t>‑</w:t>
      </w:r>
      <w:r w:rsidRPr="000F0C2E">
        <w:rPr>
          <w:rFonts w:ascii="Arial" w:hAnsi="Arial" w:cs="Arial"/>
          <w:color w:val="000000" w:themeColor="text1"/>
        </w:rPr>
        <w:t>shipment.</w:t>
      </w:r>
    </w:p>
    <w:p w14:paraId="5C186FB0"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 xml:space="preserve">Why: WMS/barcodes and </w:t>
      </w:r>
      <w:proofErr w:type="spellStart"/>
      <w:r w:rsidRPr="000F0C2E">
        <w:rPr>
          <w:rFonts w:ascii="Arial" w:hAnsi="Arial" w:cs="Arial"/>
          <w:color w:val="000000" w:themeColor="text1"/>
        </w:rPr>
        <w:t>optimised</w:t>
      </w:r>
      <w:proofErr w:type="spellEnd"/>
      <w:r w:rsidRPr="000F0C2E">
        <w:rPr>
          <w:rFonts w:ascii="Arial" w:hAnsi="Arial" w:cs="Arial"/>
          <w:color w:val="000000" w:themeColor="text1"/>
        </w:rPr>
        <w:t xml:space="preserve"> slotting reduce </w:t>
      </w:r>
      <w:proofErr w:type="spellStart"/>
      <w:r w:rsidRPr="000F0C2E">
        <w:rPr>
          <w:rFonts w:ascii="Arial" w:hAnsi="Arial" w:cs="Arial"/>
          <w:color w:val="000000" w:themeColor="text1"/>
        </w:rPr>
        <w:t>mispicks</w:t>
      </w:r>
      <w:proofErr w:type="spellEnd"/>
      <w:r w:rsidRPr="000F0C2E">
        <w:rPr>
          <w:rFonts w:ascii="Arial" w:hAnsi="Arial" w:cs="Arial"/>
          <w:color w:val="000000" w:themeColor="text1"/>
        </w:rPr>
        <w:t xml:space="preserve"> and travel time, raising accuracy and throughput (Zaman et al., 2023; Duque</w:t>
      </w:r>
      <w:r w:rsidRPr="000F0C2E">
        <w:rPr>
          <w:rFonts w:ascii="Cambria Math" w:hAnsi="Cambria Math" w:cs="Cambria Math"/>
          <w:color w:val="000000" w:themeColor="text1"/>
        </w:rPr>
        <w:t>‑</w:t>
      </w:r>
      <w:r w:rsidRPr="000F0C2E">
        <w:rPr>
          <w:rFonts w:ascii="Arial" w:hAnsi="Arial" w:cs="Arial"/>
          <w:color w:val="000000" w:themeColor="text1"/>
        </w:rPr>
        <w:t>Jaramillo et al., 2024; Viveros et al., 2021).</w:t>
      </w:r>
    </w:p>
    <w:p w14:paraId="3081A20F"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How: Low</w:t>
      </w:r>
      <w:r w:rsidRPr="000F0C2E">
        <w:rPr>
          <w:rFonts w:ascii="Cambria Math" w:hAnsi="Cambria Math" w:cs="Cambria Math"/>
          <w:color w:val="000000" w:themeColor="text1"/>
        </w:rPr>
        <w:t>‑</w:t>
      </w:r>
      <w:r w:rsidRPr="000F0C2E">
        <w:rPr>
          <w:rFonts w:ascii="Arial" w:hAnsi="Arial" w:cs="Arial"/>
          <w:color w:val="000000" w:themeColor="text1"/>
        </w:rPr>
        <w:t>cost scanners + WMS module; kaizen trials by aisle; order</w:t>
      </w:r>
      <w:r w:rsidRPr="000F0C2E">
        <w:rPr>
          <w:rFonts w:ascii="Cambria Math" w:hAnsi="Cambria Math" w:cs="Cambria Math"/>
          <w:color w:val="000000" w:themeColor="text1"/>
        </w:rPr>
        <w:t>‑</w:t>
      </w:r>
      <w:r w:rsidRPr="000F0C2E">
        <w:rPr>
          <w:rFonts w:ascii="Arial" w:hAnsi="Arial" w:cs="Arial"/>
          <w:color w:val="000000" w:themeColor="text1"/>
        </w:rPr>
        <w:t>picking aids (</w:t>
      </w:r>
      <w:proofErr w:type="spellStart"/>
      <w:r w:rsidRPr="000F0C2E">
        <w:rPr>
          <w:rFonts w:ascii="Arial" w:hAnsi="Arial" w:cs="Arial"/>
          <w:color w:val="000000" w:themeColor="text1"/>
        </w:rPr>
        <w:t>Winkelhaus</w:t>
      </w:r>
      <w:proofErr w:type="spellEnd"/>
      <w:r w:rsidRPr="000F0C2E">
        <w:rPr>
          <w:rFonts w:ascii="Arial" w:hAnsi="Arial" w:cs="Arial"/>
          <w:color w:val="000000" w:themeColor="text1"/>
        </w:rPr>
        <w:t xml:space="preserve"> &amp; Grosse, 2021).</w:t>
      </w:r>
    </w:p>
    <w:p w14:paraId="7832DB3C"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 xml:space="preserve">Metrics: Picking/inventory accuracy, rework hours per order, cube </w:t>
      </w:r>
      <w:proofErr w:type="spellStart"/>
      <w:r w:rsidRPr="000F0C2E">
        <w:rPr>
          <w:rFonts w:ascii="Arial" w:hAnsi="Arial" w:cs="Arial"/>
          <w:color w:val="000000" w:themeColor="text1"/>
        </w:rPr>
        <w:t>utilisation</w:t>
      </w:r>
      <w:proofErr w:type="spellEnd"/>
      <w:r w:rsidRPr="000F0C2E">
        <w:rPr>
          <w:rFonts w:ascii="Arial" w:hAnsi="Arial" w:cs="Arial"/>
          <w:color w:val="000000" w:themeColor="text1"/>
        </w:rPr>
        <w:t>, order lead time, OTIF (Tian &amp; Chen, 2024).</w:t>
      </w:r>
    </w:p>
    <w:p w14:paraId="52117911"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2) ERP &amp; IoT (90–180 days)</w:t>
      </w:r>
    </w:p>
    <w:p w14:paraId="035E6D27"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What: MSME</w:t>
      </w:r>
      <w:r w:rsidRPr="000F0C2E">
        <w:rPr>
          <w:rFonts w:ascii="Cambria Math" w:hAnsi="Cambria Math" w:cs="Cambria Math"/>
          <w:color w:val="000000" w:themeColor="text1"/>
        </w:rPr>
        <w:t>‑</w:t>
      </w:r>
      <w:r w:rsidRPr="000F0C2E">
        <w:rPr>
          <w:rFonts w:ascii="Arial" w:hAnsi="Arial" w:cs="Arial"/>
          <w:color w:val="000000" w:themeColor="text1"/>
        </w:rPr>
        <w:t>fit ERP (Sales/Materials/Inventory/Basic Production) + humidity/temperature telemetry.</w:t>
      </w:r>
    </w:p>
    <w:p w14:paraId="588E1AD4"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 xml:space="preserve">Why: ERP reduces information latency; </w:t>
      </w:r>
      <w:proofErr w:type="spellStart"/>
      <w:r w:rsidRPr="000F0C2E">
        <w:rPr>
          <w:rFonts w:ascii="Arial" w:hAnsi="Arial" w:cs="Arial"/>
          <w:color w:val="000000" w:themeColor="text1"/>
        </w:rPr>
        <w:t>IIoT</w:t>
      </w:r>
      <w:proofErr w:type="spellEnd"/>
      <w:r w:rsidRPr="000F0C2E">
        <w:rPr>
          <w:rFonts w:ascii="Arial" w:hAnsi="Arial" w:cs="Arial"/>
          <w:color w:val="000000" w:themeColor="text1"/>
        </w:rPr>
        <w:t xml:space="preserve"> </w:t>
      </w:r>
      <w:proofErr w:type="spellStart"/>
      <w:r w:rsidRPr="000F0C2E">
        <w:rPr>
          <w:rFonts w:ascii="Arial" w:hAnsi="Arial" w:cs="Arial"/>
          <w:color w:val="000000" w:themeColor="text1"/>
        </w:rPr>
        <w:t>stabilises</w:t>
      </w:r>
      <w:proofErr w:type="spellEnd"/>
      <w:r w:rsidRPr="000F0C2E">
        <w:rPr>
          <w:rFonts w:ascii="Arial" w:hAnsi="Arial" w:cs="Arial"/>
          <w:color w:val="000000" w:themeColor="text1"/>
        </w:rPr>
        <w:t xml:space="preserve"> quality and shortens search time; SME success depends on staged scope and change capacity (</w:t>
      </w:r>
      <w:proofErr w:type="spellStart"/>
      <w:r w:rsidRPr="000F0C2E">
        <w:rPr>
          <w:rFonts w:ascii="Arial" w:hAnsi="Arial" w:cs="Arial"/>
          <w:color w:val="000000" w:themeColor="text1"/>
        </w:rPr>
        <w:t>Basu</w:t>
      </w:r>
      <w:proofErr w:type="spellEnd"/>
      <w:r w:rsidRPr="000F0C2E">
        <w:rPr>
          <w:rFonts w:ascii="Arial" w:hAnsi="Arial" w:cs="Arial"/>
          <w:color w:val="000000" w:themeColor="text1"/>
        </w:rPr>
        <w:t xml:space="preserve">, 2012; </w:t>
      </w:r>
      <w:proofErr w:type="spellStart"/>
      <w:r w:rsidRPr="000F0C2E">
        <w:rPr>
          <w:rFonts w:ascii="Arial" w:hAnsi="Arial" w:cs="Arial"/>
          <w:color w:val="000000" w:themeColor="text1"/>
        </w:rPr>
        <w:t>Gessa</w:t>
      </w:r>
      <w:proofErr w:type="spellEnd"/>
      <w:r w:rsidRPr="000F0C2E">
        <w:rPr>
          <w:rFonts w:ascii="Arial" w:hAnsi="Arial" w:cs="Arial"/>
          <w:color w:val="000000" w:themeColor="text1"/>
        </w:rPr>
        <w:t xml:space="preserve"> et al., 2023; Shah et al., 2024).</w:t>
      </w:r>
    </w:p>
    <w:p w14:paraId="5EA8108E"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How: Phased modules; dashboards; SOPs; layered training.</w:t>
      </w:r>
    </w:p>
    <w:p w14:paraId="708FF3BF"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lastRenderedPageBreak/>
        <w:t>Metrics: Data latency (</w:t>
      </w:r>
      <w:proofErr w:type="spellStart"/>
      <w:r w:rsidRPr="000F0C2E">
        <w:rPr>
          <w:rFonts w:ascii="Arial" w:hAnsi="Arial" w:cs="Arial"/>
          <w:color w:val="000000" w:themeColor="text1"/>
        </w:rPr>
        <w:t>order→pick</w:t>
      </w:r>
      <w:proofErr w:type="spellEnd"/>
      <w:r w:rsidRPr="000F0C2E">
        <w:rPr>
          <w:rFonts w:ascii="Arial" w:hAnsi="Arial" w:cs="Arial"/>
          <w:color w:val="000000" w:themeColor="text1"/>
        </w:rPr>
        <w:t>), exception closure time, FPY, WIP visibility.</w:t>
      </w:r>
    </w:p>
    <w:p w14:paraId="5D86D042"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3) Branding, Certification &amp; Traceability (parallel)</w:t>
      </w:r>
    </w:p>
    <w:p w14:paraId="17F06725"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What: Performance</w:t>
      </w:r>
      <w:r w:rsidRPr="000F0C2E">
        <w:rPr>
          <w:rFonts w:ascii="Cambria Math" w:hAnsi="Cambria Math" w:cs="Cambria Math"/>
          <w:color w:val="000000" w:themeColor="text1"/>
        </w:rPr>
        <w:t>‑</w:t>
      </w:r>
      <w:r w:rsidRPr="000F0C2E">
        <w:rPr>
          <w:rFonts w:ascii="Arial" w:hAnsi="Arial" w:cs="Arial"/>
          <w:color w:val="000000" w:themeColor="text1"/>
        </w:rPr>
        <w:t>led digital/export activation, eco</w:t>
      </w:r>
      <w:r w:rsidRPr="000F0C2E">
        <w:rPr>
          <w:rFonts w:ascii="Cambria Math" w:hAnsi="Cambria Math" w:cs="Cambria Math"/>
          <w:color w:val="000000" w:themeColor="text1"/>
        </w:rPr>
        <w:t>‑</w:t>
      </w:r>
      <w:r w:rsidRPr="000F0C2E">
        <w:rPr>
          <w:rFonts w:ascii="Arial" w:hAnsi="Arial" w:cs="Arial"/>
          <w:color w:val="000000" w:themeColor="text1"/>
        </w:rPr>
        <w:t>certifications for priority SKUs, and digital traceability.</w:t>
      </w:r>
    </w:p>
    <w:p w14:paraId="7CB1B0E2"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Why: Certifications can lift perceived value when trusted; traceability underpins claims; price premia are segment</w:t>
      </w:r>
      <w:r w:rsidRPr="000F0C2E">
        <w:rPr>
          <w:rFonts w:ascii="Cambria Math" w:hAnsi="Cambria Math" w:cs="Cambria Math"/>
          <w:color w:val="000000" w:themeColor="text1"/>
        </w:rPr>
        <w:t>‑</w:t>
      </w:r>
      <w:r w:rsidRPr="000F0C2E">
        <w:rPr>
          <w:rFonts w:ascii="Arial" w:hAnsi="Arial" w:cs="Arial"/>
          <w:color w:val="000000" w:themeColor="text1"/>
        </w:rPr>
        <w:t xml:space="preserve">dependent (Nygaard et al., 2023; </w:t>
      </w:r>
      <w:proofErr w:type="spellStart"/>
      <w:r w:rsidRPr="000F0C2E">
        <w:rPr>
          <w:rFonts w:ascii="Arial" w:hAnsi="Arial" w:cs="Arial"/>
          <w:color w:val="000000" w:themeColor="text1"/>
        </w:rPr>
        <w:t>Sedjo</w:t>
      </w:r>
      <w:proofErr w:type="spellEnd"/>
      <w:r w:rsidRPr="000F0C2E">
        <w:rPr>
          <w:rFonts w:ascii="Arial" w:hAnsi="Arial" w:cs="Arial"/>
          <w:color w:val="000000" w:themeColor="text1"/>
        </w:rPr>
        <w:t xml:space="preserve"> &amp; Swallow, 2002; Charlebois et al., 2024).</w:t>
      </w:r>
    </w:p>
    <w:p w14:paraId="47DBC204"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How: Target segments; build claim</w:t>
      </w:r>
      <w:r w:rsidRPr="000F0C2E">
        <w:rPr>
          <w:rFonts w:ascii="Cambria Math" w:hAnsi="Cambria Math" w:cs="Cambria Math"/>
          <w:color w:val="000000" w:themeColor="text1"/>
        </w:rPr>
        <w:t>‑</w:t>
      </w:r>
      <w:r w:rsidRPr="000F0C2E">
        <w:rPr>
          <w:rFonts w:ascii="Arial" w:hAnsi="Arial" w:cs="Arial"/>
          <w:color w:val="000000" w:themeColor="text1"/>
        </w:rPr>
        <w:t>evidence packs; pilot in receptive regions.</w:t>
      </w:r>
    </w:p>
    <w:p w14:paraId="54AEED4B"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 xml:space="preserve">Metrics: Qualified leads, conversion rate, price </w:t>
      </w:r>
      <w:proofErr w:type="spellStart"/>
      <w:r w:rsidRPr="000F0C2E">
        <w:rPr>
          <w:rFonts w:ascii="Arial" w:hAnsi="Arial" w:cs="Arial"/>
          <w:color w:val="000000" w:themeColor="text1"/>
        </w:rPr>
        <w:t>realisation</w:t>
      </w:r>
      <w:proofErr w:type="spellEnd"/>
      <w:r w:rsidRPr="000F0C2E">
        <w:rPr>
          <w:rFonts w:ascii="Arial" w:hAnsi="Arial" w:cs="Arial"/>
          <w:color w:val="000000" w:themeColor="text1"/>
        </w:rPr>
        <w:t>, audit pass rate, traceability coverage.</w:t>
      </w:r>
    </w:p>
    <w:p w14:paraId="55D227EB"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4) Queueing</w:t>
      </w:r>
      <w:r w:rsidRPr="000F0C2E">
        <w:rPr>
          <w:rFonts w:ascii="Cambria Math" w:hAnsi="Cambria Math" w:cs="Cambria Math"/>
          <w:color w:val="000000" w:themeColor="text1"/>
        </w:rPr>
        <w:t>‑</w:t>
      </w:r>
      <w:r w:rsidRPr="000F0C2E">
        <w:rPr>
          <w:rFonts w:ascii="Arial" w:hAnsi="Arial" w:cs="Arial"/>
          <w:color w:val="000000" w:themeColor="text1"/>
        </w:rPr>
        <w:t>aware pacing (parallel)</w:t>
      </w:r>
    </w:p>
    <w:p w14:paraId="7A523BC2"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What: Staggered waves, protected review windows, early locks, capacity buffers.</w:t>
      </w:r>
    </w:p>
    <w:p w14:paraId="3FCB7611"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 xml:space="preserve">Why: Queueing theory predicts steep delay growth at high </w:t>
      </w:r>
      <w:proofErr w:type="spellStart"/>
      <w:r w:rsidRPr="000F0C2E">
        <w:rPr>
          <w:rFonts w:ascii="Arial" w:hAnsi="Arial" w:cs="Arial"/>
          <w:color w:val="000000" w:themeColor="text1"/>
        </w:rPr>
        <w:t>utilisation</w:t>
      </w:r>
      <w:proofErr w:type="spellEnd"/>
      <w:r w:rsidRPr="000F0C2E">
        <w:rPr>
          <w:rFonts w:ascii="Arial" w:hAnsi="Arial" w:cs="Arial"/>
          <w:color w:val="000000" w:themeColor="text1"/>
        </w:rPr>
        <w:t xml:space="preserve"> with peaky arrivals; placing buffers at review can cut rush errors (Cooper, 1990).</w:t>
      </w:r>
    </w:p>
    <w:p w14:paraId="7B7D35ED"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Metrics: OTIF, lead</w:t>
      </w:r>
      <w:r w:rsidRPr="000F0C2E">
        <w:rPr>
          <w:rFonts w:ascii="Cambria Math" w:hAnsi="Cambria Math" w:cs="Cambria Math"/>
          <w:color w:val="000000" w:themeColor="text1"/>
        </w:rPr>
        <w:t>‑</w:t>
      </w:r>
      <w:r w:rsidRPr="000F0C2E">
        <w:rPr>
          <w:rFonts w:ascii="Arial" w:hAnsi="Arial" w:cs="Arial"/>
          <w:color w:val="000000" w:themeColor="text1"/>
        </w:rPr>
        <w:t>time variance, peak</w:t>
      </w:r>
      <w:r w:rsidRPr="000F0C2E">
        <w:rPr>
          <w:rFonts w:ascii="Cambria Math" w:hAnsi="Cambria Math" w:cs="Cambria Math"/>
          <w:color w:val="000000" w:themeColor="text1"/>
        </w:rPr>
        <w:t>‑</w:t>
      </w:r>
      <w:r w:rsidRPr="000F0C2E">
        <w:rPr>
          <w:rFonts w:ascii="Arial" w:hAnsi="Arial" w:cs="Arial"/>
          <w:color w:val="000000" w:themeColor="text1"/>
        </w:rPr>
        <w:t>hour throughput.</w:t>
      </w:r>
    </w:p>
    <w:p w14:paraId="0D8AB771"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Academic Learning though this Case</w:t>
      </w:r>
    </w:p>
    <w:p w14:paraId="1DAC24B9"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Portable Concept 1 — Reliability</w:t>
      </w:r>
      <w:r w:rsidRPr="000F0C2E">
        <w:rPr>
          <w:rFonts w:ascii="Cambria Math" w:hAnsi="Cambria Math" w:cs="Cambria Math"/>
          <w:color w:val="000000" w:themeColor="text1"/>
        </w:rPr>
        <w:t>‑</w:t>
      </w:r>
      <w:r w:rsidRPr="000F0C2E">
        <w:rPr>
          <w:rFonts w:ascii="Arial" w:hAnsi="Arial" w:cs="Arial"/>
          <w:color w:val="000000" w:themeColor="text1"/>
        </w:rPr>
        <w:t>Centered Warehousing (RCW)</w:t>
      </w:r>
    </w:p>
    <w:p w14:paraId="7009894C"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Design stores/dispatch around error</w:t>
      </w:r>
      <w:r w:rsidRPr="000F0C2E">
        <w:rPr>
          <w:rFonts w:ascii="Cambria Math" w:hAnsi="Cambria Math" w:cs="Cambria Math"/>
          <w:color w:val="000000" w:themeColor="text1"/>
        </w:rPr>
        <w:t>‑</w:t>
      </w:r>
      <w:r w:rsidRPr="000F0C2E">
        <w:rPr>
          <w:rFonts w:ascii="Arial" w:hAnsi="Arial" w:cs="Arial"/>
          <w:color w:val="000000" w:themeColor="text1"/>
        </w:rPr>
        <w:t>free, time</w:t>
      </w:r>
      <w:r w:rsidRPr="000F0C2E">
        <w:rPr>
          <w:rFonts w:ascii="Cambria Math" w:hAnsi="Cambria Math" w:cs="Cambria Math"/>
          <w:color w:val="000000" w:themeColor="text1"/>
        </w:rPr>
        <w:t>‑</w:t>
      </w:r>
      <w:r w:rsidRPr="000F0C2E">
        <w:rPr>
          <w:rFonts w:ascii="Arial" w:hAnsi="Arial" w:cs="Arial"/>
          <w:color w:val="000000" w:themeColor="text1"/>
        </w:rPr>
        <w:t>certain flow; link every barcode event to a service</w:t>
      </w:r>
      <w:r w:rsidRPr="000F0C2E">
        <w:rPr>
          <w:rFonts w:ascii="Cambria Math" w:hAnsi="Cambria Math" w:cs="Cambria Math"/>
          <w:color w:val="000000" w:themeColor="text1"/>
        </w:rPr>
        <w:t>‑</w:t>
      </w:r>
      <w:r w:rsidRPr="000F0C2E">
        <w:rPr>
          <w:rFonts w:ascii="Arial" w:hAnsi="Arial" w:cs="Arial"/>
          <w:color w:val="000000" w:themeColor="text1"/>
        </w:rPr>
        <w:t xml:space="preserve">level scorecard. Research connects WMS/barcodes, slotting, and picking technologies to fewer errors and faster </w:t>
      </w:r>
      <w:r w:rsidRPr="000F0C2E">
        <w:rPr>
          <w:rFonts w:ascii="Arial" w:hAnsi="Arial" w:cs="Arial"/>
          <w:color w:val="000000" w:themeColor="text1"/>
        </w:rPr>
        <w:lastRenderedPageBreak/>
        <w:t>order cycles (Duque</w:t>
      </w:r>
      <w:r w:rsidRPr="000F0C2E">
        <w:rPr>
          <w:rFonts w:ascii="Cambria Math" w:hAnsi="Cambria Math" w:cs="Cambria Math"/>
          <w:color w:val="000000" w:themeColor="text1"/>
        </w:rPr>
        <w:t>‑</w:t>
      </w:r>
      <w:r w:rsidRPr="000F0C2E">
        <w:rPr>
          <w:rFonts w:ascii="Arial" w:hAnsi="Arial" w:cs="Arial"/>
          <w:color w:val="000000" w:themeColor="text1"/>
        </w:rPr>
        <w:t xml:space="preserve">Jaramillo et al., 2024; Viveros et al., 2021; </w:t>
      </w:r>
      <w:proofErr w:type="spellStart"/>
      <w:r w:rsidRPr="000F0C2E">
        <w:rPr>
          <w:rFonts w:ascii="Arial" w:hAnsi="Arial" w:cs="Arial"/>
          <w:color w:val="000000" w:themeColor="text1"/>
        </w:rPr>
        <w:t>Łopuszyński</w:t>
      </w:r>
      <w:proofErr w:type="spellEnd"/>
      <w:r w:rsidRPr="000F0C2E">
        <w:rPr>
          <w:rFonts w:ascii="Arial" w:hAnsi="Arial" w:cs="Arial"/>
          <w:color w:val="000000" w:themeColor="text1"/>
        </w:rPr>
        <w:t xml:space="preserve"> et al., 2025; </w:t>
      </w:r>
      <w:proofErr w:type="spellStart"/>
      <w:r w:rsidRPr="000F0C2E">
        <w:rPr>
          <w:rFonts w:ascii="Arial" w:hAnsi="Arial" w:cs="Arial"/>
          <w:color w:val="000000" w:themeColor="text1"/>
        </w:rPr>
        <w:t>Winkelhaus</w:t>
      </w:r>
      <w:proofErr w:type="spellEnd"/>
      <w:r w:rsidRPr="000F0C2E">
        <w:rPr>
          <w:rFonts w:ascii="Arial" w:hAnsi="Arial" w:cs="Arial"/>
          <w:color w:val="000000" w:themeColor="text1"/>
        </w:rPr>
        <w:t xml:space="preserve"> &amp; Grosse, 2021).</w:t>
      </w:r>
    </w:p>
    <w:p w14:paraId="38E51C60"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Measurement: Picking accuracy (%), OTIF (%), rework hours/order.</w:t>
      </w:r>
    </w:p>
    <w:p w14:paraId="487E5AC7"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Portable Concept 2 — Sustainability Differentiation Index (SDI)</w:t>
      </w:r>
    </w:p>
    <w:p w14:paraId="326D5E35"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Composite of provenance, certification status, recyclability, and energy intensity; used for pricing tiers and channel messaging. Certification tends to raise perceived value when credible; premia are segment</w:t>
      </w:r>
      <w:r w:rsidRPr="000F0C2E">
        <w:rPr>
          <w:rFonts w:ascii="Cambria Math" w:hAnsi="Cambria Math" w:cs="Cambria Math"/>
          <w:color w:val="000000" w:themeColor="text1"/>
        </w:rPr>
        <w:t>‑</w:t>
      </w:r>
      <w:r w:rsidRPr="000F0C2E">
        <w:rPr>
          <w:rFonts w:ascii="Arial" w:hAnsi="Arial" w:cs="Arial"/>
          <w:color w:val="000000" w:themeColor="text1"/>
        </w:rPr>
        <w:t xml:space="preserve">contingent (Nygaard et al., 2023; </w:t>
      </w:r>
      <w:proofErr w:type="spellStart"/>
      <w:r w:rsidRPr="000F0C2E">
        <w:rPr>
          <w:rFonts w:ascii="Arial" w:hAnsi="Arial" w:cs="Arial"/>
          <w:color w:val="000000" w:themeColor="text1"/>
        </w:rPr>
        <w:t>Sedjo</w:t>
      </w:r>
      <w:proofErr w:type="spellEnd"/>
      <w:r w:rsidRPr="000F0C2E">
        <w:rPr>
          <w:rFonts w:ascii="Arial" w:hAnsi="Arial" w:cs="Arial"/>
          <w:color w:val="000000" w:themeColor="text1"/>
        </w:rPr>
        <w:t xml:space="preserve"> &amp; Swallow, 2002).</w:t>
      </w:r>
    </w:p>
    <w:p w14:paraId="28C3EFE5"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 xml:space="preserve">Measurement: SDI score by SKU, audit pass rate, price </w:t>
      </w:r>
      <w:proofErr w:type="spellStart"/>
      <w:r w:rsidRPr="000F0C2E">
        <w:rPr>
          <w:rFonts w:ascii="Arial" w:hAnsi="Arial" w:cs="Arial"/>
          <w:color w:val="000000" w:themeColor="text1"/>
        </w:rPr>
        <w:t>realisation</w:t>
      </w:r>
      <w:proofErr w:type="spellEnd"/>
      <w:r w:rsidRPr="000F0C2E">
        <w:rPr>
          <w:rFonts w:ascii="Arial" w:hAnsi="Arial" w:cs="Arial"/>
          <w:color w:val="000000" w:themeColor="text1"/>
        </w:rPr>
        <w:t xml:space="preserve"> in eco</w:t>
      </w:r>
      <w:r w:rsidRPr="000F0C2E">
        <w:rPr>
          <w:rFonts w:ascii="Cambria Math" w:hAnsi="Cambria Math" w:cs="Cambria Math"/>
          <w:color w:val="000000" w:themeColor="text1"/>
        </w:rPr>
        <w:t>‑</w:t>
      </w:r>
      <w:r w:rsidRPr="000F0C2E">
        <w:rPr>
          <w:rFonts w:ascii="Arial" w:hAnsi="Arial" w:cs="Arial"/>
          <w:color w:val="000000" w:themeColor="text1"/>
        </w:rPr>
        <w:t>segments.</w:t>
      </w:r>
    </w:p>
    <w:p w14:paraId="7FD6F975"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Portable Concept 3 — Traceability</w:t>
      </w:r>
      <w:r w:rsidRPr="000F0C2E">
        <w:rPr>
          <w:rFonts w:ascii="Cambria Math" w:hAnsi="Cambria Math" w:cs="Cambria Math"/>
          <w:color w:val="000000" w:themeColor="text1"/>
        </w:rPr>
        <w:t>‑</w:t>
      </w:r>
      <w:r w:rsidRPr="000F0C2E">
        <w:rPr>
          <w:rFonts w:ascii="Arial" w:hAnsi="Arial" w:cs="Arial"/>
          <w:color w:val="000000" w:themeColor="text1"/>
        </w:rPr>
        <w:t>for</w:t>
      </w:r>
      <w:r w:rsidRPr="000F0C2E">
        <w:rPr>
          <w:rFonts w:ascii="Cambria Math" w:hAnsi="Cambria Math" w:cs="Cambria Math"/>
          <w:color w:val="000000" w:themeColor="text1"/>
        </w:rPr>
        <w:t>‑</w:t>
      </w:r>
      <w:r w:rsidRPr="000F0C2E">
        <w:rPr>
          <w:rFonts w:ascii="Arial" w:hAnsi="Arial" w:cs="Arial"/>
          <w:color w:val="000000" w:themeColor="text1"/>
        </w:rPr>
        <w:t>Trust (T4T)</w:t>
      </w:r>
    </w:p>
    <w:p w14:paraId="752CF277"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Batch</w:t>
      </w:r>
      <w:r w:rsidRPr="000F0C2E">
        <w:rPr>
          <w:rFonts w:ascii="Cambria Math" w:hAnsi="Cambria Math" w:cs="Cambria Math"/>
          <w:color w:val="000000" w:themeColor="text1"/>
        </w:rPr>
        <w:t>‑</w:t>
      </w:r>
      <w:r w:rsidRPr="000F0C2E">
        <w:rPr>
          <w:rFonts w:ascii="Arial" w:hAnsi="Arial" w:cs="Arial"/>
          <w:color w:val="000000" w:themeColor="text1"/>
        </w:rPr>
        <w:t>level ledger of husk origin and process parameters to support due diligence without heavy blockchain overhead; digital traceability studies show governance and data models matter for adoption and buyer acceptance (Charlebois et al., 2024). Measurement: Traceability coverage (% lots), exception resolution time, distributor acceptance rate.</w:t>
      </w:r>
    </w:p>
    <w:p w14:paraId="585EADE6"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Portable Concept 4 — Natural</w:t>
      </w:r>
      <w:r w:rsidRPr="000F0C2E">
        <w:rPr>
          <w:rFonts w:ascii="Cambria Math" w:hAnsi="Cambria Math" w:cs="Cambria Math"/>
          <w:color w:val="000000" w:themeColor="text1"/>
        </w:rPr>
        <w:t>‑</w:t>
      </w:r>
      <w:proofErr w:type="spellStart"/>
      <w:r w:rsidRPr="000F0C2E">
        <w:rPr>
          <w:rFonts w:ascii="Arial" w:hAnsi="Arial" w:cs="Arial"/>
          <w:color w:val="000000" w:themeColor="text1"/>
        </w:rPr>
        <w:t>Fibre</w:t>
      </w:r>
      <w:proofErr w:type="spellEnd"/>
      <w:r w:rsidRPr="000F0C2E">
        <w:rPr>
          <w:rFonts w:ascii="Arial" w:hAnsi="Arial" w:cs="Arial"/>
          <w:color w:val="000000" w:themeColor="text1"/>
        </w:rPr>
        <w:t xml:space="preserve"> Performance Evidence</w:t>
      </w:r>
    </w:p>
    <w:p w14:paraId="43423555"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 xml:space="preserve">Link coir’s mechanical/thermal/acoustic properties to product claims and durability expectations in export markets (Hasan et al., 2021; Ru et al., 2023; </w:t>
      </w:r>
      <w:proofErr w:type="spellStart"/>
      <w:r w:rsidRPr="000F0C2E">
        <w:rPr>
          <w:rFonts w:ascii="Arial" w:hAnsi="Arial" w:cs="Arial"/>
          <w:color w:val="000000" w:themeColor="text1"/>
        </w:rPr>
        <w:t>Elfaleh</w:t>
      </w:r>
      <w:proofErr w:type="spellEnd"/>
      <w:r w:rsidRPr="000F0C2E">
        <w:rPr>
          <w:rFonts w:ascii="Arial" w:hAnsi="Arial" w:cs="Arial"/>
          <w:color w:val="000000" w:themeColor="text1"/>
        </w:rPr>
        <w:t xml:space="preserve"> et al., 2023).</w:t>
      </w:r>
    </w:p>
    <w:p w14:paraId="5E04E37B" w14:textId="77777777" w:rsidR="000F0C2E" w:rsidRPr="000F0C2E" w:rsidRDefault="000F0C2E" w:rsidP="000F0C2E">
      <w:pPr>
        <w:pStyle w:val="Body"/>
        <w:spacing w:after="160"/>
        <w:ind w:right="389"/>
        <w:jc w:val="center"/>
        <w:rPr>
          <w:rFonts w:ascii="Arial" w:hAnsi="Arial" w:cs="Arial"/>
          <w:b/>
          <w:bCs/>
          <w:caps/>
          <w:color w:val="000000" w:themeColor="text1"/>
        </w:rPr>
      </w:pPr>
      <w:r w:rsidRPr="000F0C2E">
        <w:rPr>
          <w:rFonts w:ascii="Arial" w:hAnsi="Arial" w:cs="Arial"/>
          <w:b/>
          <w:bCs/>
          <w:caps/>
          <w:color w:val="000000" w:themeColor="text1"/>
        </w:rPr>
        <w:t>Conclusion</w:t>
      </w:r>
    </w:p>
    <w:p w14:paraId="7C97CB35" w14:textId="77777777" w:rsidR="000F0C2E" w:rsidRPr="000F0C2E" w:rsidRDefault="000F0C2E" w:rsidP="000F0C2E">
      <w:pPr>
        <w:pStyle w:val="Body"/>
        <w:spacing w:after="160"/>
        <w:ind w:right="389"/>
        <w:jc w:val="both"/>
        <w:rPr>
          <w:rFonts w:ascii="Arial" w:hAnsi="Arial" w:cs="Arial"/>
          <w:color w:val="000000" w:themeColor="text1"/>
        </w:rPr>
      </w:pPr>
      <w:r w:rsidRPr="000F0C2E">
        <w:rPr>
          <w:rFonts w:ascii="Arial" w:hAnsi="Arial" w:cs="Arial"/>
          <w:color w:val="000000" w:themeColor="text1"/>
        </w:rPr>
        <w:t xml:space="preserve">Vish U Mats can turn green demand into a long-term advantage by getting </w:t>
      </w:r>
      <w:r w:rsidRPr="000F0C2E">
        <w:rPr>
          <w:rFonts w:ascii="Arial" w:hAnsi="Arial" w:cs="Arial"/>
          <w:color w:val="000000" w:themeColor="text1"/>
        </w:rPr>
        <w:lastRenderedPageBreak/>
        <w:t>rid of warehouse problems, automating production, and making export branding more professional.  A sequenced plan that includes digitizing inventory and shipping, setting up important ERP modules, certifying priority SKUs, and starting channel partnerships increases throughput, lowers costs caused by mistakes, and helps with premium positioning.  Diversifying your sources and making better use of space can make your business more resilient. A sustainability story can also gain credibility through traceability and certifications.  Disciplined execution with a weekly scorecard that builds up over 12 to 18 months allows for measurable, low-risk progress.</w:t>
      </w:r>
    </w:p>
    <w:p w14:paraId="665BB52D" w14:textId="77777777" w:rsidR="000F0C2E" w:rsidRPr="000F0C2E" w:rsidRDefault="000F0C2E" w:rsidP="000F0C2E">
      <w:pPr>
        <w:pStyle w:val="Body"/>
        <w:spacing w:after="160"/>
        <w:ind w:right="389"/>
        <w:jc w:val="center"/>
        <w:rPr>
          <w:rFonts w:ascii="Arial" w:hAnsi="Arial" w:cs="Arial"/>
          <w:b/>
          <w:bCs/>
          <w:caps/>
          <w:color w:val="000000" w:themeColor="text1"/>
        </w:rPr>
      </w:pPr>
      <w:r w:rsidRPr="000F0C2E">
        <w:rPr>
          <w:rFonts w:ascii="Arial" w:hAnsi="Arial" w:cs="Arial"/>
          <w:b/>
          <w:bCs/>
          <w:caps/>
          <w:color w:val="000000" w:themeColor="text1"/>
        </w:rPr>
        <w:t>Case Questions</w:t>
      </w:r>
    </w:p>
    <w:p w14:paraId="6742622D" w14:textId="224E8B4C" w:rsidR="000F0C2E" w:rsidRPr="000F0C2E" w:rsidRDefault="000F0C2E" w:rsidP="000F0C2E">
      <w:pPr>
        <w:pStyle w:val="Body"/>
        <w:numPr>
          <w:ilvl w:val="0"/>
          <w:numId w:val="14"/>
        </w:numPr>
        <w:spacing w:after="160"/>
        <w:ind w:left="360" w:right="14" w:hanging="360"/>
        <w:jc w:val="both"/>
        <w:rPr>
          <w:rFonts w:ascii="Arial" w:hAnsi="Arial" w:cs="Arial"/>
          <w:color w:val="000000" w:themeColor="text1"/>
        </w:rPr>
      </w:pPr>
      <w:r w:rsidRPr="000F0C2E">
        <w:rPr>
          <w:rFonts w:ascii="Arial" w:hAnsi="Arial" w:cs="Arial"/>
          <w:color w:val="000000" w:themeColor="text1"/>
        </w:rPr>
        <w:t>Where in the current order</w:t>
      </w:r>
      <w:r w:rsidRPr="000F0C2E">
        <w:rPr>
          <w:rFonts w:ascii="Cambria Math" w:hAnsi="Cambria Math" w:cs="Cambria Math"/>
          <w:color w:val="000000" w:themeColor="text1"/>
        </w:rPr>
        <w:t>‑</w:t>
      </w:r>
      <w:r w:rsidRPr="000F0C2E">
        <w:rPr>
          <w:rFonts w:ascii="Arial" w:hAnsi="Arial" w:cs="Arial"/>
          <w:color w:val="000000" w:themeColor="text1"/>
        </w:rPr>
        <w:t>to</w:t>
      </w:r>
      <w:r w:rsidRPr="000F0C2E">
        <w:rPr>
          <w:rFonts w:ascii="Cambria Math" w:hAnsi="Cambria Math" w:cs="Cambria Math"/>
          <w:color w:val="000000" w:themeColor="text1"/>
        </w:rPr>
        <w:t>‑</w:t>
      </w:r>
      <w:r w:rsidRPr="000F0C2E">
        <w:rPr>
          <w:rFonts w:ascii="Arial" w:hAnsi="Arial" w:cs="Arial"/>
          <w:color w:val="000000" w:themeColor="text1"/>
        </w:rPr>
        <w:t>dispatch flow is the largest loss of accuracy or time, and how would you measure it after barcoding?</w:t>
      </w:r>
    </w:p>
    <w:p w14:paraId="78BD4896" w14:textId="73C586A6" w:rsidR="000F0C2E" w:rsidRPr="000F0C2E" w:rsidRDefault="000F0C2E" w:rsidP="000F0C2E">
      <w:pPr>
        <w:pStyle w:val="Body"/>
        <w:numPr>
          <w:ilvl w:val="0"/>
          <w:numId w:val="14"/>
        </w:numPr>
        <w:spacing w:after="160"/>
        <w:ind w:left="360" w:right="14" w:hanging="360"/>
        <w:jc w:val="both"/>
        <w:rPr>
          <w:rFonts w:ascii="Arial" w:hAnsi="Arial" w:cs="Arial"/>
          <w:color w:val="000000" w:themeColor="text1"/>
        </w:rPr>
      </w:pPr>
      <w:r w:rsidRPr="000F0C2E">
        <w:rPr>
          <w:rFonts w:ascii="Arial" w:hAnsi="Arial" w:cs="Arial"/>
          <w:color w:val="000000" w:themeColor="text1"/>
        </w:rPr>
        <w:t>Which ERP modules should be prioritized for a first</w:t>
      </w:r>
      <w:r w:rsidRPr="000F0C2E">
        <w:rPr>
          <w:rFonts w:ascii="Cambria Math" w:hAnsi="Cambria Math" w:cs="Cambria Math"/>
          <w:color w:val="000000" w:themeColor="text1"/>
        </w:rPr>
        <w:t>‑</w:t>
      </w:r>
      <w:r w:rsidRPr="000F0C2E">
        <w:rPr>
          <w:rFonts w:ascii="Arial" w:hAnsi="Arial" w:cs="Arial"/>
          <w:color w:val="000000" w:themeColor="text1"/>
        </w:rPr>
        <w:t>year rollout and why (Materials, Inventory, Sales, or Production)?</w:t>
      </w:r>
    </w:p>
    <w:p w14:paraId="1096A672" w14:textId="7BCB8E0E" w:rsidR="000F0C2E" w:rsidRPr="000F0C2E" w:rsidRDefault="000F0C2E" w:rsidP="000F0C2E">
      <w:pPr>
        <w:pStyle w:val="Body"/>
        <w:numPr>
          <w:ilvl w:val="0"/>
          <w:numId w:val="14"/>
        </w:numPr>
        <w:spacing w:after="160"/>
        <w:ind w:left="360" w:right="14" w:hanging="360"/>
        <w:jc w:val="both"/>
        <w:rPr>
          <w:rFonts w:ascii="Arial" w:hAnsi="Arial" w:cs="Arial"/>
          <w:color w:val="000000" w:themeColor="text1"/>
        </w:rPr>
      </w:pPr>
      <w:r w:rsidRPr="000F0C2E">
        <w:rPr>
          <w:rFonts w:ascii="Arial" w:hAnsi="Arial" w:cs="Arial"/>
          <w:color w:val="000000" w:themeColor="text1"/>
        </w:rPr>
        <w:t>How would you design a Sustainability Differentiation Index for the coir product line, and how should it affect pricing and assortment?</w:t>
      </w:r>
    </w:p>
    <w:p w14:paraId="7E7C11F1" w14:textId="4B15A3C0" w:rsidR="000F0C2E" w:rsidRPr="000F0C2E" w:rsidRDefault="000F0C2E" w:rsidP="000F0C2E">
      <w:pPr>
        <w:pStyle w:val="Body"/>
        <w:numPr>
          <w:ilvl w:val="0"/>
          <w:numId w:val="14"/>
        </w:numPr>
        <w:spacing w:after="160"/>
        <w:ind w:left="360" w:right="14" w:hanging="360"/>
        <w:jc w:val="both"/>
        <w:rPr>
          <w:rFonts w:ascii="Arial" w:hAnsi="Arial" w:cs="Arial"/>
          <w:color w:val="000000" w:themeColor="text1"/>
        </w:rPr>
      </w:pPr>
      <w:r w:rsidRPr="000F0C2E">
        <w:rPr>
          <w:rFonts w:ascii="Arial" w:hAnsi="Arial" w:cs="Arial"/>
          <w:color w:val="000000" w:themeColor="text1"/>
        </w:rPr>
        <w:t>What export</w:t>
      </w:r>
      <w:r w:rsidRPr="000F0C2E">
        <w:rPr>
          <w:rFonts w:ascii="Cambria Math" w:hAnsi="Cambria Math" w:cs="Cambria Math"/>
          <w:color w:val="000000" w:themeColor="text1"/>
        </w:rPr>
        <w:t>‑</w:t>
      </w:r>
      <w:r w:rsidRPr="000F0C2E">
        <w:rPr>
          <w:rFonts w:ascii="Arial" w:hAnsi="Arial" w:cs="Arial"/>
          <w:color w:val="000000" w:themeColor="text1"/>
        </w:rPr>
        <w:t>market channel actions would most efficiently raise brand visibility in the next two quarters?</w:t>
      </w:r>
    </w:p>
    <w:p w14:paraId="78C94308" w14:textId="1837CF8C" w:rsidR="000F0C2E" w:rsidRPr="000F0C2E" w:rsidRDefault="000F0C2E" w:rsidP="000F0C2E">
      <w:pPr>
        <w:pStyle w:val="Body"/>
        <w:numPr>
          <w:ilvl w:val="0"/>
          <w:numId w:val="14"/>
        </w:numPr>
        <w:spacing w:after="160"/>
        <w:ind w:left="360" w:right="14" w:hanging="360"/>
        <w:jc w:val="both"/>
        <w:rPr>
          <w:rFonts w:ascii="Arial" w:hAnsi="Arial" w:cs="Arial"/>
          <w:color w:val="000000" w:themeColor="text1"/>
        </w:rPr>
      </w:pPr>
      <w:r w:rsidRPr="000F0C2E">
        <w:rPr>
          <w:rFonts w:ascii="Arial" w:hAnsi="Arial" w:cs="Arial"/>
          <w:color w:val="000000" w:themeColor="text1"/>
        </w:rPr>
        <w:t>How can raw</w:t>
      </w:r>
      <w:r w:rsidRPr="000F0C2E">
        <w:rPr>
          <w:rFonts w:ascii="Cambria Math" w:hAnsi="Cambria Math" w:cs="Cambria Math"/>
          <w:color w:val="000000" w:themeColor="text1"/>
        </w:rPr>
        <w:t>‑</w:t>
      </w:r>
      <w:r w:rsidRPr="000F0C2E">
        <w:rPr>
          <w:rFonts w:ascii="Arial" w:hAnsi="Arial" w:cs="Arial"/>
          <w:color w:val="000000" w:themeColor="text1"/>
        </w:rPr>
        <w:t>material seasonality risk be reduced without inflating working capital?</w:t>
      </w:r>
    </w:p>
    <w:p w14:paraId="5C1D8D1B" w14:textId="3021FCAF" w:rsidR="000F0C2E" w:rsidRPr="000F0C2E" w:rsidRDefault="000F0C2E" w:rsidP="000F0C2E">
      <w:pPr>
        <w:pStyle w:val="Body"/>
        <w:numPr>
          <w:ilvl w:val="0"/>
          <w:numId w:val="14"/>
        </w:numPr>
        <w:spacing w:after="160"/>
        <w:ind w:left="360" w:right="14" w:hanging="360"/>
        <w:jc w:val="both"/>
        <w:rPr>
          <w:rFonts w:ascii="Arial" w:hAnsi="Arial" w:cs="Arial"/>
          <w:color w:val="000000" w:themeColor="text1"/>
        </w:rPr>
      </w:pPr>
      <w:r w:rsidRPr="000F0C2E">
        <w:rPr>
          <w:rFonts w:ascii="Arial" w:hAnsi="Arial" w:cs="Arial"/>
          <w:color w:val="000000" w:themeColor="text1"/>
        </w:rPr>
        <w:t>What weekly scorecard would you track to prove ROI from warehouse digitization and space redesign?</w:t>
      </w:r>
    </w:p>
    <w:p w14:paraId="32682DE7" w14:textId="77777777" w:rsidR="000F0C2E" w:rsidRDefault="000F0C2E" w:rsidP="000F0C2E">
      <w:pPr>
        <w:pStyle w:val="Body"/>
        <w:spacing w:after="160"/>
        <w:ind w:right="14"/>
        <w:jc w:val="both"/>
        <w:rPr>
          <w:rFonts w:ascii="Arial" w:hAnsi="Arial" w:cs="Arial"/>
          <w:color w:val="000000" w:themeColor="text1"/>
        </w:rPr>
      </w:pPr>
    </w:p>
    <w:p w14:paraId="74BB20BE" w14:textId="61B5C96A" w:rsidR="000F0C2E" w:rsidRPr="000F0C2E" w:rsidRDefault="000F0C2E" w:rsidP="000F0C2E">
      <w:pPr>
        <w:pStyle w:val="Body"/>
        <w:spacing w:after="160"/>
        <w:ind w:right="14"/>
        <w:jc w:val="center"/>
        <w:rPr>
          <w:rFonts w:ascii="Arial" w:hAnsi="Arial" w:cs="Arial"/>
          <w:b/>
          <w:bCs/>
          <w:caps/>
          <w:color w:val="000000" w:themeColor="text1"/>
        </w:rPr>
      </w:pPr>
      <w:r w:rsidRPr="000F0C2E">
        <w:rPr>
          <w:rFonts w:ascii="Arial" w:hAnsi="Arial" w:cs="Arial"/>
          <w:b/>
          <w:bCs/>
          <w:caps/>
          <w:color w:val="000000" w:themeColor="text1"/>
        </w:rPr>
        <w:t>References</w:t>
      </w:r>
    </w:p>
    <w:p w14:paraId="4DEDC04C" w14:textId="796FF0F5" w:rsidR="000F0C2E" w:rsidRPr="000F0C2E" w:rsidRDefault="000F0C2E" w:rsidP="000F0C2E">
      <w:pPr>
        <w:pStyle w:val="Body"/>
        <w:spacing w:after="160"/>
        <w:ind w:left="720" w:right="14" w:hanging="720"/>
        <w:jc w:val="both"/>
        <w:rPr>
          <w:rFonts w:ascii="Arial" w:hAnsi="Arial" w:cs="Arial"/>
          <w:color w:val="000000" w:themeColor="text1"/>
        </w:rPr>
      </w:pPr>
      <w:r w:rsidRPr="000F0C2E">
        <w:rPr>
          <w:rFonts w:ascii="Arial" w:hAnsi="Arial" w:cs="Arial"/>
          <w:color w:val="000000" w:themeColor="text1"/>
        </w:rPr>
        <w:lastRenderedPageBreak/>
        <w:t>Basu, R. (2012). An approach to identify issues affecting ERP implementation in Indian SMEs. Journal of Industrial Engineering and Management, 5(3), 728–743.</w:t>
      </w:r>
    </w:p>
    <w:p w14:paraId="34F70A43" w14:textId="567BEBED" w:rsidR="000F0C2E" w:rsidRPr="000F0C2E" w:rsidRDefault="000F0C2E" w:rsidP="000F0C2E">
      <w:pPr>
        <w:pStyle w:val="Body"/>
        <w:spacing w:after="160"/>
        <w:ind w:left="720" w:right="14" w:hanging="720"/>
        <w:jc w:val="both"/>
        <w:rPr>
          <w:rFonts w:ascii="Arial" w:hAnsi="Arial" w:cs="Arial"/>
          <w:color w:val="000000" w:themeColor="text1"/>
        </w:rPr>
      </w:pPr>
      <w:r w:rsidRPr="000F0C2E">
        <w:rPr>
          <w:rFonts w:ascii="Arial" w:hAnsi="Arial" w:cs="Arial"/>
          <w:color w:val="000000" w:themeColor="text1"/>
        </w:rPr>
        <w:t>Charlebois, S., et al. (2024). Digital traceability in agri</w:t>
      </w:r>
      <w:r w:rsidRPr="000F0C2E">
        <w:rPr>
          <w:rFonts w:ascii="Cambria Math" w:hAnsi="Cambria Math" w:cs="Cambria Math"/>
          <w:color w:val="000000" w:themeColor="text1"/>
        </w:rPr>
        <w:t>‑</w:t>
      </w:r>
      <w:r w:rsidRPr="000F0C2E">
        <w:rPr>
          <w:rFonts w:ascii="Arial" w:hAnsi="Arial" w:cs="Arial"/>
          <w:color w:val="000000" w:themeColor="text1"/>
        </w:rPr>
        <w:t>food supply chains. Foods, 13(7), 1075.</w:t>
      </w:r>
    </w:p>
    <w:p w14:paraId="04518057" w14:textId="6B16C5ED" w:rsidR="000F0C2E" w:rsidRPr="000F0C2E" w:rsidRDefault="000F0C2E" w:rsidP="000F0C2E">
      <w:pPr>
        <w:pStyle w:val="Body"/>
        <w:spacing w:after="160"/>
        <w:ind w:left="720" w:right="14" w:hanging="720"/>
        <w:jc w:val="both"/>
        <w:rPr>
          <w:rFonts w:ascii="Arial" w:hAnsi="Arial" w:cs="Arial"/>
          <w:color w:val="000000" w:themeColor="text1"/>
        </w:rPr>
      </w:pPr>
      <w:r w:rsidRPr="000F0C2E">
        <w:rPr>
          <w:rFonts w:ascii="Arial" w:hAnsi="Arial" w:cs="Arial"/>
          <w:color w:val="000000" w:themeColor="text1"/>
        </w:rPr>
        <w:t>Cooper, R. B. (1990). Queueing theory (Chapter 10). Handbooks in Operations Research and Management Science.</w:t>
      </w:r>
    </w:p>
    <w:p w14:paraId="45B52E78" w14:textId="63B40557" w:rsidR="000F0C2E" w:rsidRPr="000F0C2E" w:rsidRDefault="000F0C2E" w:rsidP="000F0C2E">
      <w:pPr>
        <w:pStyle w:val="Body"/>
        <w:spacing w:after="160"/>
        <w:ind w:left="720" w:right="14" w:hanging="720"/>
        <w:jc w:val="both"/>
        <w:rPr>
          <w:rFonts w:ascii="Arial" w:hAnsi="Arial" w:cs="Arial"/>
          <w:color w:val="000000" w:themeColor="text1"/>
        </w:rPr>
      </w:pPr>
      <w:r w:rsidRPr="000F0C2E">
        <w:rPr>
          <w:rFonts w:ascii="Arial" w:hAnsi="Arial" w:cs="Arial"/>
          <w:color w:val="000000" w:themeColor="text1"/>
        </w:rPr>
        <w:t>Duque</w:t>
      </w:r>
      <w:r w:rsidRPr="000F0C2E">
        <w:rPr>
          <w:rFonts w:ascii="Cambria Math" w:hAnsi="Cambria Math" w:cs="Cambria Math"/>
          <w:color w:val="000000" w:themeColor="text1"/>
        </w:rPr>
        <w:t>‑</w:t>
      </w:r>
      <w:r w:rsidRPr="000F0C2E">
        <w:rPr>
          <w:rFonts w:ascii="Arial" w:hAnsi="Arial" w:cs="Arial"/>
          <w:color w:val="000000" w:themeColor="text1"/>
        </w:rPr>
        <w:t xml:space="preserve">Jaramillo, J. C., et al. (2024). Slotting </w:t>
      </w:r>
      <w:proofErr w:type="spellStart"/>
      <w:r w:rsidRPr="000F0C2E">
        <w:rPr>
          <w:rFonts w:ascii="Arial" w:hAnsi="Arial" w:cs="Arial"/>
          <w:color w:val="000000" w:themeColor="text1"/>
        </w:rPr>
        <w:t>optimisation</w:t>
      </w:r>
      <w:proofErr w:type="spellEnd"/>
      <w:r w:rsidRPr="000F0C2E">
        <w:rPr>
          <w:rFonts w:ascii="Arial" w:hAnsi="Arial" w:cs="Arial"/>
          <w:color w:val="000000" w:themeColor="text1"/>
        </w:rPr>
        <w:t>. Journal of Industrial Engineering and Management, 17(1), 1–25.</w:t>
      </w:r>
    </w:p>
    <w:p w14:paraId="52C49985" w14:textId="0C3DB858" w:rsidR="000F0C2E" w:rsidRPr="000F0C2E" w:rsidRDefault="000F0C2E" w:rsidP="000F0C2E">
      <w:pPr>
        <w:pStyle w:val="Body"/>
        <w:spacing w:after="160"/>
        <w:ind w:left="720" w:right="14" w:hanging="720"/>
        <w:jc w:val="both"/>
        <w:rPr>
          <w:rFonts w:ascii="Arial" w:hAnsi="Arial" w:cs="Arial"/>
          <w:color w:val="000000" w:themeColor="text1"/>
        </w:rPr>
      </w:pPr>
      <w:proofErr w:type="spellStart"/>
      <w:r w:rsidRPr="000F0C2E">
        <w:rPr>
          <w:rFonts w:ascii="Arial" w:hAnsi="Arial" w:cs="Arial"/>
          <w:color w:val="000000" w:themeColor="text1"/>
        </w:rPr>
        <w:t>Elfaleh</w:t>
      </w:r>
      <w:proofErr w:type="spellEnd"/>
      <w:r w:rsidRPr="000F0C2E">
        <w:rPr>
          <w:rFonts w:ascii="Arial" w:hAnsi="Arial" w:cs="Arial"/>
          <w:color w:val="000000" w:themeColor="text1"/>
        </w:rPr>
        <w:t xml:space="preserve">, I., et al. (2023). A comprehensive review of natural </w:t>
      </w:r>
      <w:proofErr w:type="spellStart"/>
      <w:r w:rsidRPr="000F0C2E">
        <w:rPr>
          <w:rFonts w:ascii="Arial" w:hAnsi="Arial" w:cs="Arial"/>
          <w:color w:val="000000" w:themeColor="text1"/>
        </w:rPr>
        <w:t>fibres</w:t>
      </w:r>
      <w:proofErr w:type="spellEnd"/>
      <w:r w:rsidRPr="000F0C2E">
        <w:rPr>
          <w:rFonts w:ascii="Arial" w:hAnsi="Arial" w:cs="Arial"/>
          <w:color w:val="000000" w:themeColor="text1"/>
        </w:rPr>
        <w:t xml:space="preserve"> and their composites. </w:t>
      </w:r>
      <w:proofErr w:type="spellStart"/>
      <w:r w:rsidRPr="000F0C2E">
        <w:rPr>
          <w:rFonts w:ascii="Arial" w:hAnsi="Arial" w:cs="Arial"/>
          <w:color w:val="000000" w:themeColor="text1"/>
        </w:rPr>
        <w:t>Heliyon</w:t>
      </w:r>
      <w:proofErr w:type="spellEnd"/>
      <w:r w:rsidRPr="000F0C2E">
        <w:rPr>
          <w:rFonts w:ascii="Arial" w:hAnsi="Arial" w:cs="Arial"/>
          <w:color w:val="000000" w:themeColor="text1"/>
        </w:rPr>
        <w:t>, 9(10), e22009.</w:t>
      </w:r>
    </w:p>
    <w:p w14:paraId="5B425AAE" w14:textId="36D5C45D" w:rsidR="000F0C2E" w:rsidRPr="000F0C2E" w:rsidRDefault="000F0C2E" w:rsidP="000F0C2E">
      <w:pPr>
        <w:pStyle w:val="Body"/>
        <w:spacing w:after="160"/>
        <w:ind w:left="720" w:right="14" w:hanging="720"/>
        <w:jc w:val="both"/>
        <w:rPr>
          <w:rFonts w:ascii="Arial" w:hAnsi="Arial" w:cs="Arial"/>
          <w:color w:val="000000" w:themeColor="text1"/>
        </w:rPr>
      </w:pPr>
      <w:proofErr w:type="spellStart"/>
      <w:r w:rsidRPr="000F0C2E">
        <w:rPr>
          <w:rFonts w:ascii="Arial" w:hAnsi="Arial" w:cs="Arial"/>
          <w:color w:val="000000" w:themeColor="text1"/>
        </w:rPr>
        <w:t>Gessa</w:t>
      </w:r>
      <w:proofErr w:type="spellEnd"/>
      <w:r w:rsidRPr="000F0C2E">
        <w:rPr>
          <w:rFonts w:ascii="Arial" w:hAnsi="Arial" w:cs="Arial"/>
          <w:color w:val="000000" w:themeColor="text1"/>
        </w:rPr>
        <w:t>, A., et al. (2023). ERP adoption in challenging times. Technological Forecasting &amp; Social Change, 196, 122975.</w:t>
      </w:r>
    </w:p>
    <w:p w14:paraId="1B9DBD79" w14:textId="41DAE6B2" w:rsidR="000F0C2E" w:rsidRPr="000F0C2E" w:rsidRDefault="000F0C2E" w:rsidP="000F0C2E">
      <w:pPr>
        <w:pStyle w:val="Body"/>
        <w:spacing w:after="160"/>
        <w:ind w:left="720" w:right="14" w:hanging="720"/>
        <w:jc w:val="both"/>
        <w:rPr>
          <w:rFonts w:ascii="Arial" w:hAnsi="Arial" w:cs="Arial"/>
          <w:color w:val="000000" w:themeColor="text1"/>
        </w:rPr>
      </w:pPr>
      <w:r w:rsidRPr="000F0C2E">
        <w:rPr>
          <w:rFonts w:ascii="Arial" w:hAnsi="Arial" w:cs="Arial"/>
          <w:color w:val="000000" w:themeColor="text1"/>
        </w:rPr>
        <w:t>Hasan, K. M. F., et al. (2021). Coir composites review. Fibers and Polymers, 22(11), 2871–2896.</w:t>
      </w:r>
    </w:p>
    <w:p w14:paraId="0D7A92E4" w14:textId="05D11C60" w:rsidR="000F0C2E" w:rsidRPr="000F0C2E" w:rsidRDefault="000F0C2E" w:rsidP="000F0C2E">
      <w:pPr>
        <w:pStyle w:val="Body"/>
        <w:spacing w:after="160"/>
        <w:ind w:left="720" w:right="14" w:hanging="720"/>
        <w:jc w:val="both"/>
        <w:rPr>
          <w:rFonts w:ascii="Arial" w:hAnsi="Arial" w:cs="Arial"/>
          <w:color w:val="000000" w:themeColor="text1"/>
        </w:rPr>
      </w:pPr>
      <w:proofErr w:type="spellStart"/>
      <w:r w:rsidRPr="000F0C2E">
        <w:rPr>
          <w:rFonts w:ascii="Arial" w:hAnsi="Arial" w:cs="Arial"/>
          <w:color w:val="000000" w:themeColor="text1"/>
        </w:rPr>
        <w:t>Łopuszyński</w:t>
      </w:r>
      <w:proofErr w:type="spellEnd"/>
      <w:r w:rsidRPr="000F0C2E">
        <w:rPr>
          <w:rFonts w:ascii="Arial" w:hAnsi="Arial" w:cs="Arial"/>
          <w:color w:val="000000" w:themeColor="text1"/>
        </w:rPr>
        <w:t>, M., et al. (2025). Comparative study of order</w:t>
      </w:r>
      <w:r w:rsidRPr="000F0C2E">
        <w:rPr>
          <w:rFonts w:ascii="Cambria Math" w:hAnsi="Cambria Math" w:cs="Cambria Math"/>
          <w:color w:val="000000" w:themeColor="text1"/>
        </w:rPr>
        <w:t>‑</w:t>
      </w:r>
      <w:r w:rsidRPr="000F0C2E">
        <w:rPr>
          <w:rFonts w:ascii="Arial" w:hAnsi="Arial" w:cs="Arial"/>
          <w:color w:val="000000" w:themeColor="text1"/>
        </w:rPr>
        <w:t>picking methods. Sensors, 25(3), 923.</w:t>
      </w:r>
    </w:p>
    <w:p w14:paraId="3261F6B1" w14:textId="423A3CF5" w:rsidR="000F0C2E" w:rsidRPr="000F0C2E" w:rsidRDefault="000F0C2E" w:rsidP="000F0C2E">
      <w:pPr>
        <w:pStyle w:val="Body"/>
        <w:spacing w:after="160"/>
        <w:ind w:left="720" w:right="14" w:hanging="720"/>
        <w:jc w:val="both"/>
        <w:rPr>
          <w:rFonts w:ascii="Arial" w:hAnsi="Arial" w:cs="Arial"/>
          <w:color w:val="000000" w:themeColor="text1"/>
        </w:rPr>
      </w:pPr>
      <w:r w:rsidRPr="000F0C2E">
        <w:rPr>
          <w:rFonts w:ascii="Arial" w:hAnsi="Arial" w:cs="Arial"/>
          <w:color w:val="000000" w:themeColor="text1"/>
        </w:rPr>
        <w:t xml:space="preserve">Nissar, M., et al. (2025). Coconut coir </w:t>
      </w:r>
      <w:proofErr w:type="spellStart"/>
      <w:r w:rsidRPr="000F0C2E">
        <w:rPr>
          <w:rFonts w:ascii="Arial" w:hAnsi="Arial" w:cs="Arial"/>
          <w:color w:val="000000" w:themeColor="text1"/>
        </w:rPr>
        <w:t>fibre</w:t>
      </w:r>
      <w:proofErr w:type="spellEnd"/>
      <w:r w:rsidRPr="000F0C2E">
        <w:rPr>
          <w:rFonts w:ascii="Arial" w:hAnsi="Arial" w:cs="Arial"/>
          <w:color w:val="000000" w:themeColor="text1"/>
        </w:rPr>
        <w:t xml:space="preserve"> composites for sustainable architecture. Journal of Composites Science, 9(10), 516.</w:t>
      </w:r>
    </w:p>
    <w:p w14:paraId="7341B12D" w14:textId="4F4151AE" w:rsidR="000F0C2E" w:rsidRPr="000F0C2E" w:rsidRDefault="000F0C2E" w:rsidP="000F0C2E">
      <w:pPr>
        <w:pStyle w:val="Body"/>
        <w:spacing w:after="160"/>
        <w:ind w:left="720" w:right="14" w:hanging="720"/>
        <w:jc w:val="both"/>
        <w:rPr>
          <w:rFonts w:ascii="Arial" w:hAnsi="Arial" w:cs="Arial"/>
          <w:color w:val="000000" w:themeColor="text1"/>
        </w:rPr>
      </w:pPr>
      <w:r w:rsidRPr="000F0C2E">
        <w:rPr>
          <w:rFonts w:ascii="Arial" w:hAnsi="Arial" w:cs="Arial"/>
          <w:color w:val="000000" w:themeColor="text1"/>
        </w:rPr>
        <w:t>Nygaard, A., et al. (2023). Certification &amp; greenwashing. Frontiers in Sustainability, 4, 1188069.</w:t>
      </w:r>
    </w:p>
    <w:p w14:paraId="3A36F320" w14:textId="17E74F6A" w:rsidR="000F0C2E" w:rsidRPr="000F0C2E" w:rsidRDefault="000F0C2E" w:rsidP="000F0C2E">
      <w:pPr>
        <w:pStyle w:val="Body"/>
        <w:spacing w:after="160"/>
        <w:ind w:left="720" w:right="14" w:hanging="720"/>
        <w:jc w:val="both"/>
        <w:rPr>
          <w:rFonts w:ascii="Arial" w:hAnsi="Arial" w:cs="Arial"/>
          <w:color w:val="000000" w:themeColor="text1"/>
        </w:rPr>
      </w:pPr>
      <w:r w:rsidRPr="000F0C2E">
        <w:rPr>
          <w:rFonts w:ascii="Arial" w:hAnsi="Arial" w:cs="Arial"/>
          <w:color w:val="000000" w:themeColor="text1"/>
        </w:rPr>
        <w:t xml:space="preserve">Ru, S., et al. (2023). Coir </w:t>
      </w:r>
      <w:proofErr w:type="spellStart"/>
      <w:r w:rsidRPr="000F0C2E">
        <w:rPr>
          <w:rFonts w:ascii="Arial" w:hAnsi="Arial" w:cs="Arial"/>
          <w:color w:val="000000" w:themeColor="text1"/>
        </w:rPr>
        <w:t>fibre</w:t>
      </w:r>
      <w:proofErr w:type="spellEnd"/>
      <w:r w:rsidRPr="000F0C2E">
        <w:rPr>
          <w:rFonts w:ascii="Arial" w:hAnsi="Arial" w:cs="Arial"/>
          <w:color w:val="000000" w:themeColor="text1"/>
        </w:rPr>
        <w:t xml:space="preserve"> interfacial bonding. Journal of Natural </w:t>
      </w:r>
      <w:proofErr w:type="spellStart"/>
      <w:r w:rsidRPr="000F0C2E">
        <w:rPr>
          <w:rFonts w:ascii="Arial" w:hAnsi="Arial" w:cs="Arial"/>
          <w:color w:val="000000" w:themeColor="text1"/>
        </w:rPr>
        <w:t>Fibres</w:t>
      </w:r>
      <w:proofErr w:type="spellEnd"/>
      <w:r w:rsidRPr="000F0C2E">
        <w:rPr>
          <w:rFonts w:ascii="Arial" w:hAnsi="Arial" w:cs="Arial"/>
          <w:color w:val="000000" w:themeColor="text1"/>
        </w:rPr>
        <w:t>, 20(2), 160–173.</w:t>
      </w:r>
    </w:p>
    <w:p w14:paraId="6919DC21" w14:textId="1FDE48C3" w:rsidR="000F0C2E" w:rsidRPr="000F0C2E" w:rsidRDefault="000F0C2E" w:rsidP="000F0C2E">
      <w:pPr>
        <w:pStyle w:val="Body"/>
        <w:spacing w:after="160"/>
        <w:ind w:left="720" w:right="14" w:hanging="720"/>
        <w:jc w:val="both"/>
        <w:rPr>
          <w:rFonts w:ascii="Arial" w:hAnsi="Arial" w:cs="Arial"/>
          <w:color w:val="000000" w:themeColor="text1"/>
        </w:rPr>
      </w:pPr>
      <w:r w:rsidRPr="000F0C2E">
        <w:rPr>
          <w:rFonts w:ascii="Arial" w:hAnsi="Arial" w:cs="Arial"/>
          <w:color w:val="000000" w:themeColor="text1"/>
        </w:rPr>
        <w:lastRenderedPageBreak/>
        <w:t>Sedjo, R. A., &amp; Swallow, S. K. (2002). Eco</w:t>
      </w:r>
      <w:r w:rsidRPr="000F0C2E">
        <w:rPr>
          <w:rFonts w:ascii="Cambria Math" w:hAnsi="Cambria Math" w:cs="Cambria Math"/>
          <w:color w:val="000000" w:themeColor="text1"/>
        </w:rPr>
        <w:t>‑</w:t>
      </w:r>
      <w:r w:rsidRPr="000F0C2E">
        <w:rPr>
          <w:rFonts w:ascii="Arial" w:hAnsi="Arial" w:cs="Arial"/>
          <w:color w:val="000000" w:themeColor="text1"/>
        </w:rPr>
        <w:t>label price premium. Land Economics, 78(2), 272–284.</w:t>
      </w:r>
    </w:p>
    <w:p w14:paraId="201EBF19" w14:textId="2D9A1D9C" w:rsidR="000F0C2E" w:rsidRPr="000F0C2E" w:rsidRDefault="000F0C2E" w:rsidP="000F0C2E">
      <w:pPr>
        <w:pStyle w:val="Body"/>
        <w:spacing w:after="160"/>
        <w:ind w:left="720" w:right="14" w:hanging="720"/>
        <w:jc w:val="both"/>
        <w:rPr>
          <w:rFonts w:ascii="Arial" w:hAnsi="Arial" w:cs="Arial"/>
          <w:color w:val="000000" w:themeColor="text1"/>
        </w:rPr>
      </w:pPr>
      <w:r w:rsidRPr="000F0C2E">
        <w:rPr>
          <w:rFonts w:ascii="Arial" w:hAnsi="Arial" w:cs="Arial"/>
          <w:color w:val="000000" w:themeColor="text1"/>
        </w:rPr>
        <w:t xml:space="preserve">Shah, S., et al. (2024). Factors influencing </w:t>
      </w:r>
      <w:proofErr w:type="spellStart"/>
      <w:r w:rsidRPr="000F0C2E">
        <w:rPr>
          <w:rFonts w:ascii="Arial" w:hAnsi="Arial" w:cs="Arial"/>
          <w:color w:val="000000" w:themeColor="text1"/>
        </w:rPr>
        <w:t>IIoT</w:t>
      </w:r>
      <w:proofErr w:type="spellEnd"/>
      <w:r w:rsidRPr="000F0C2E">
        <w:rPr>
          <w:rFonts w:ascii="Arial" w:hAnsi="Arial" w:cs="Arial"/>
          <w:color w:val="000000" w:themeColor="text1"/>
        </w:rPr>
        <w:t xml:space="preserve"> adoption in manufacturing SMEs. IET Collaborative Intelligent Manufacturing, 6(3), 345–367.</w:t>
      </w:r>
    </w:p>
    <w:p w14:paraId="5695E524" w14:textId="0C6EA911" w:rsidR="000F0C2E" w:rsidRPr="000F0C2E" w:rsidRDefault="000F0C2E" w:rsidP="000F0C2E">
      <w:pPr>
        <w:pStyle w:val="Body"/>
        <w:spacing w:after="160"/>
        <w:ind w:left="720" w:right="14" w:hanging="720"/>
        <w:jc w:val="both"/>
        <w:rPr>
          <w:rFonts w:ascii="Arial" w:hAnsi="Arial" w:cs="Arial"/>
          <w:color w:val="000000" w:themeColor="text1"/>
        </w:rPr>
      </w:pPr>
      <w:r w:rsidRPr="000F0C2E">
        <w:rPr>
          <w:rFonts w:ascii="Arial" w:hAnsi="Arial" w:cs="Arial"/>
          <w:color w:val="000000" w:themeColor="text1"/>
        </w:rPr>
        <w:t xml:space="preserve">Shah, S., et al. (2024). </w:t>
      </w:r>
      <w:proofErr w:type="spellStart"/>
      <w:r w:rsidRPr="000F0C2E">
        <w:rPr>
          <w:rFonts w:ascii="Arial" w:hAnsi="Arial" w:cs="Arial"/>
          <w:color w:val="000000" w:themeColor="text1"/>
        </w:rPr>
        <w:t>IIoT</w:t>
      </w:r>
      <w:proofErr w:type="spellEnd"/>
      <w:r w:rsidRPr="000F0C2E">
        <w:rPr>
          <w:rFonts w:ascii="Arial" w:hAnsi="Arial" w:cs="Arial"/>
          <w:color w:val="000000" w:themeColor="text1"/>
        </w:rPr>
        <w:t xml:space="preserve"> adoption factors for manufacturing SMEs. IET Collaborative Intelligent Manufacturing, 6(3), 345–367.</w:t>
      </w:r>
    </w:p>
    <w:p w14:paraId="4F8485B8" w14:textId="0C5897EB" w:rsidR="000F0C2E" w:rsidRPr="000F0C2E" w:rsidRDefault="000F0C2E" w:rsidP="000F0C2E">
      <w:pPr>
        <w:pStyle w:val="Body"/>
        <w:spacing w:after="160"/>
        <w:ind w:left="720" w:right="14" w:hanging="720"/>
        <w:jc w:val="both"/>
        <w:rPr>
          <w:rFonts w:ascii="Arial" w:hAnsi="Arial" w:cs="Arial"/>
          <w:color w:val="000000" w:themeColor="text1"/>
        </w:rPr>
      </w:pPr>
      <w:r w:rsidRPr="000F0C2E">
        <w:rPr>
          <w:rFonts w:ascii="Arial" w:hAnsi="Arial" w:cs="Arial"/>
          <w:color w:val="000000" w:themeColor="text1"/>
        </w:rPr>
        <w:t xml:space="preserve">Siregar, J. P., et al. (2024). Advancements in sustainable material development: Review of coir </w:t>
      </w:r>
      <w:proofErr w:type="spellStart"/>
      <w:r w:rsidRPr="000F0C2E">
        <w:rPr>
          <w:rFonts w:ascii="Arial" w:hAnsi="Arial" w:cs="Arial"/>
          <w:color w:val="000000" w:themeColor="text1"/>
        </w:rPr>
        <w:t>fibre</w:t>
      </w:r>
      <w:proofErr w:type="spellEnd"/>
      <w:r w:rsidRPr="000F0C2E">
        <w:rPr>
          <w:rFonts w:ascii="Arial" w:hAnsi="Arial" w:cs="Arial"/>
          <w:color w:val="000000" w:themeColor="text1"/>
        </w:rPr>
        <w:t>. [Journal/Proceedings].</w:t>
      </w:r>
    </w:p>
    <w:p w14:paraId="2A0AD669" w14:textId="3DC8C253" w:rsidR="000F0C2E" w:rsidRPr="000F0C2E" w:rsidRDefault="000F0C2E" w:rsidP="000F0C2E">
      <w:pPr>
        <w:pStyle w:val="Body"/>
        <w:spacing w:after="160"/>
        <w:ind w:left="720" w:right="14" w:hanging="720"/>
        <w:jc w:val="both"/>
        <w:rPr>
          <w:rFonts w:ascii="Arial" w:hAnsi="Arial" w:cs="Arial"/>
          <w:color w:val="000000" w:themeColor="text1"/>
        </w:rPr>
      </w:pPr>
      <w:r w:rsidRPr="000F0C2E">
        <w:rPr>
          <w:rFonts w:ascii="Arial" w:hAnsi="Arial" w:cs="Arial"/>
          <w:color w:val="000000" w:themeColor="text1"/>
        </w:rPr>
        <w:t>Soroka, A., et al. (2021). The operational implications of errors in supply chains: OTIF and DIFOT. LRN Conference Proceedings.</w:t>
      </w:r>
    </w:p>
    <w:p w14:paraId="7CD04991" w14:textId="59D3CD95" w:rsidR="000F0C2E" w:rsidRPr="000F0C2E" w:rsidRDefault="000F0C2E" w:rsidP="000F0C2E">
      <w:pPr>
        <w:pStyle w:val="Body"/>
        <w:spacing w:after="160"/>
        <w:ind w:left="720" w:right="14" w:hanging="720"/>
        <w:jc w:val="both"/>
        <w:rPr>
          <w:rFonts w:ascii="Arial" w:hAnsi="Arial" w:cs="Arial"/>
          <w:color w:val="000000" w:themeColor="text1"/>
        </w:rPr>
      </w:pPr>
      <w:proofErr w:type="spellStart"/>
      <w:r w:rsidRPr="000F0C2E">
        <w:rPr>
          <w:rFonts w:ascii="Arial" w:hAnsi="Arial" w:cs="Arial"/>
          <w:color w:val="000000" w:themeColor="text1"/>
        </w:rPr>
        <w:t>TechScience</w:t>
      </w:r>
      <w:proofErr w:type="spellEnd"/>
      <w:r w:rsidRPr="000F0C2E">
        <w:rPr>
          <w:rFonts w:ascii="Arial" w:hAnsi="Arial" w:cs="Arial"/>
          <w:color w:val="000000" w:themeColor="text1"/>
        </w:rPr>
        <w:t xml:space="preserve">. (2024). A review on coir </w:t>
      </w:r>
      <w:proofErr w:type="spellStart"/>
      <w:r w:rsidRPr="000F0C2E">
        <w:rPr>
          <w:rFonts w:ascii="Arial" w:hAnsi="Arial" w:cs="Arial"/>
          <w:color w:val="000000" w:themeColor="text1"/>
        </w:rPr>
        <w:t>fibre</w:t>
      </w:r>
      <w:proofErr w:type="spellEnd"/>
      <w:r w:rsidRPr="000F0C2E">
        <w:rPr>
          <w:rFonts w:ascii="Arial" w:hAnsi="Arial" w:cs="Arial"/>
          <w:color w:val="000000" w:themeColor="text1"/>
        </w:rPr>
        <w:t>. Journal of Renewable Materials, 12(4), 1–25.</w:t>
      </w:r>
    </w:p>
    <w:p w14:paraId="5DA32E32" w14:textId="2D5B1D29" w:rsidR="000F0C2E" w:rsidRPr="000F0C2E" w:rsidRDefault="000F0C2E" w:rsidP="000F0C2E">
      <w:pPr>
        <w:pStyle w:val="Body"/>
        <w:spacing w:after="160"/>
        <w:ind w:left="720" w:right="14" w:hanging="720"/>
        <w:jc w:val="both"/>
        <w:rPr>
          <w:rFonts w:ascii="Arial" w:hAnsi="Arial" w:cs="Arial"/>
          <w:color w:val="000000" w:themeColor="text1"/>
        </w:rPr>
      </w:pPr>
      <w:r w:rsidRPr="000F0C2E">
        <w:rPr>
          <w:rFonts w:ascii="Arial" w:hAnsi="Arial" w:cs="Arial"/>
          <w:color w:val="000000" w:themeColor="text1"/>
        </w:rPr>
        <w:t>Tian, Z., &amp; Chen, L. (2024). Enhancing distribution efficiency through OTIF performance evaluation. Mathematics, 12(21), 3372.</w:t>
      </w:r>
    </w:p>
    <w:p w14:paraId="58300B01" w14:textId="1B7A7E72" w:rsidR="000F0C2E" w:rsidRPr="000F0C2E" w:rsidRDefault="000F0C2E" w:rsidP="000F0C2E">
      <w:pPr>
        <w:pStyle w:val="Body"/>
        <w:spacing w:after="160"/>
        <w:ind w:left="720" w:right="14" w:hanging="720"/>
        <w:jc w:val="both"/>
        <w:rPr>
          <w:rFonts w:ascii="Arial" w:hAnsi="Arial" w:cs="Arial"/>
          <w:color w:val="000000" w:themeColor="text1"/>
        </w:rPr>
      </w:pPr>
      <w:r w:rsidRPr="000F0C2E">
        <w:rPr>
          <w:rFonts w:ascii="Arial" w:hAnsi="Arial" w:cs="Arial"/>
          <w:color w:val="000000" w:themeColor="text1"/>
        </w:rPr>
        <w:t xml:space="preserve">Viveros, P., et al. (2021). Slotting </w:t>
      </w:r>
      <w:proofErr w:type="spellStart"/>
      <w:r w:rsidRPr="000F0C2E">
        <w:rPr>
          <w:rFonts w:ascii="Arial" w:hAnsi="Arial" w:cs="Arial"/>
          <w:color w:val="000000" w:themeColor="text1"/>
        </w:rPr>
        <w:t>optimisation</w:t>
      </w:r>
      <w:proofErr w:type="spellEnd"/>
      <w:r w:rsidRPr="000F0C2E">
        <w:rPr>
          <w:rFonts w:ascii="Arial" w:hAnsi="Arial" w:cs="Arial"/>
          <w:color w:val="000000" w:themeColor="text1"/>
        </w:rPr>
        <w:t xml:space="preserve"> model (SLAP</w:t>
      </w:r>
      <w:r w:rsidRPr="000F0C2E">
        <w:rPr>
          <w:rFonts w:ascii="Cambria Math" w:hAnsi="Cambria Math" w:cs="Cambria Math"/>
          <w:color w:val="000000" w:themeColor="text1"/>
        </w:rPr>
        <w:t>‑</w:t>
      </w:r>
      <w:r w:rsidRPr="000F0C2E">
        <w:rPr>
          <w:rFonts w:ascii="Arial" w:hAnsi="Arial" w:cs="Arial"/>
          <w:color w:val="000000" w:themeColor="text1"/>
        </w:rPr>
        <w:t>VH). Applied Sciences, 11(3), 936.</w:t>
      </w:r>
    </w:p>
    <w:p w14:paraId="46231335" w14:textId="45519901" w:rsidR="000F0C2E" w:rsidRPr="000F0C2E" w:rsidRDefault="000F0C2E" w:rsidP="000F0C2E">
      <w:pPr>
        <w:pStyle w:val="Body"/>
        <w:spacing w:after="160"/>
        <w:ind w:left="720" w:right="14" w:hanging="720"/>
        <w:jc w:val="both"/>
        <w:rPr>
          <w:rFonts w:ascii="Arial" w:hAnsi="Arial" w:cs="Arial"/>
          <w:color w:val="000000" w:themeColor="text1"/>
        </w:rPr>
      </w:pPr>
      <w:proofErr w:type="spellStart"/>
      <w:r w:rsidRPr="000F0C2E">
        <w:rPr>
          <w:rFonts w:ascii="Arial" w:hAnsi="Arial" w:cs="Arial"/>
          <w:color w:val="000000" w:themeColor="text1"/>
        </w:rPr>
        <w:t>Winkelhaus</w:t>
      </w:r>
      <w:proofErr w:type="spellEnd"/>
      <w:r w:rsidRPr="000F0C2E">
        <w:rPr>
          <w:rFonts w:ascii="Arial" w:hAnsi="Arial" w:cs="Arial"/>
          <w:color w:val="000000" w:themeColor="text1"/>
        </w:rPr>
        <w:t>, S., &amp; Grosse, E. H. (2021). Order Picking 4.0. Computers &amp; Industrial Engineering, 162, 107738.</w:t>
      </w:r>
    </w:p>
    <w:p w14:paraId="4AA4BD08" w14:textId="6667A10A" w:rsidR="000F0C2E" w:rsidRPr="000F0C2E" w:rsidRDefault="000F0C2E" w:rsidP="000F0C2E">
      <w:pPr>
        <w:pStyle w:val="Body"/>
        <w:spacing w:after="160"/>
        <w:ind w:left="720" w:right="14" w:hanging="720"/>
        <w:jc w:val="both"/>
        <w:rPr>
          <w:rFonts w:ascii="Arial" w:hAnsi="Arial" w:cs="Arial"/>
          <w:color w:val="000000" w:themeColor="text1"/>
        </w:rPr>
      </w:pPr>
      <w:r w:rsidRPr="000F0C2E">
        <w:rPr>
          <w:rFonts w:ascii="Arial" w:hAnsi="Arial" w:cs="Arial"/>
          <w:color w:val="000000" w:themeColor="text1"/>
        </w:rPr>
        <w:t>Zaman, K., et al. (2023). Barcode-based warehouse management for SMEs. [Representative applied research].</w:t>
      </w:r>
    </w:p>
    <w:p w14:paraId="2CF4C183" w14:textId="77777777" w:rsidR="000F0C2E" w:rsidRPr="000F0C2E" w:rsidRDefault="000F0C2E" w:rsidP="000F0C2E">
      <w:pPr>
        <w:pStyle w:val="Body"/>
        <w:spacing w:after="160"/>
        <w:ind w:left="720" w:right="389" w:hanging="720"/>
        <w:jc w:val="both"/>
        <w:rPr>
          <w:rFonts w:ascii="Arial" w:hAnsi="Arial" w:cs="Arial"/>
          <w:color w:val="000000" w:themeColor="text1"/>
        </w:rPr>
      </w:pPr>
    </w:p>
    <w:p w14:paraId="7DDCFE3D" w14:textId="77777777" w:rsidR="000F0C2E" w:rsidRPr="000F0C2E" w:rsidRDefault="000F0C2E" w:rsidP="000F0C2E">
      <w:pPr>
        <w:pStyle w:val="Body"/>
        <w:spacing w:after="160"/>
        <w:ind w:right="389"/>
        <w:jc w:val="both"/>
        <w:rPr>
          <w:rFonts w:ascii="Arial" w:hAnsi="Arial" w:cs="Arial"/>
          <w:color w:val="000000" w:themeColor="text1"/>
        </w:rPr>
      </w:pPr>
    </w:p>
    <w:sectPr w:rsidR="000F0C2E" w:rsidRPr="000F0C2E" w:rsidSect="000F0C2E">
      <w:type w:val="continuous"/>
      <w:pgSz w:w="11909" w:h="16834" w:code="9"/>
      <w:pgMar w:top="1440" w:right="1440" w:bottom="1440" w:left="1440" w:header="1008"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4D3AC" w14:textId="77777777" w:rsidR="00B41238" w:rsidRDefault="00B41238" w:rsidP="0098387A">
      <w:pPr>
        <w:spacing w:after="0" w:line="240" w:lineRule="auto"/>
      </w:pPr>
      <w:r>
        <w:separator/>
      </w:r>
    </w:p>
  </w:endnote>
  <w:endnote w:type="continuationSeparator" w:id="0">
    <w:p w14:paraId="3D16CF8F" w14:textId="77777777" w:rsidR="00B41238" w:rsidRDefault="00B41238" w:rsidP="00983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E945B" w14:textId="77777777" w:rsidR="00B41238" w:rsidRDefault="00B41238" w:rsidP="0098387A">
      <w:pPr>
        <w:spacing w:after="0" w:line="240" w:lineRule="auto"/>
      </w:pPr>
      <w:r>
        <w:separator/>
      </w:r>
    </w:p>
  </w:footnote>
  <w:footnote w:type="continuationSeparator" w:id="0">
    <w:p w14:paraId="5513EFC4" w14:textId="77777777" w:rsidR="00B41238" w:rsidRDefault="00B41238" w:rsidP="00983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99FC2" w14:textId="4A1ADC4E" w:rsidR="002B76C4" w:rsidRPr="003D3A79" w:rsidRDefault="002B76C4" w:rsidP="003D3A79">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sidR="00214F1A">
      <w:rPr>
        <w:rFonts w:ascii="Arial" w:hAnsi="Arial" w:cs="Arial"/>
        <w:noProof/>
        <w:sz w:val="16"/>
        <w:szCs w:val="16"/>
      </w:rPr>
      <w:t>6</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Business and Management</w:t>
    </w:r>
    <w:r w:rsidRPr="00B62BAE">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sidR="00214F1A">
      <w:rPr>
        <w:rFonts w:ascii="Arial" w:eastAsia="Arial" w:hAnsi="Arial" w:cs="Arial"/>
        <w:i/>
        <w:color w:val="000000"/>
        <w:spacing w:val="-1"/>
        <w:sz w:val="16"/>
        <w:szCs w:val="16"/>
      </w:rPr>
      <w:t xml:space="preserve">       Dec</w:t>
    </w:r>
    <w:r>
      <w:rPr>
        <w:rFonts w:ascii="Arial" w:eastAsia="Arial" w:hAnsi="Arial" w:cs="Arial"/>
        <w:i/>
        <w:color w:val="000000"/>
        <w:spacing w:val="-1"/>
        <w:sz w:val="16"/>
        <w:szCs w:val="16"/>
      </w:rPr>
      <w:t xml:space="preserve">ember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2F668" w14:textId="74A74BA3" w:rsidR="002B76C4" w:rsidRPr="003D3A79" w:rsidRDefault="002B76C4" w:rsidP="003D3A79">
    <w:pPr>
      <w:pStyle w:val="Header"/>
      <w:pBdr>
        <w:bottom w:val="single" w:sz="4" w:space="1" w:color="auto"/>
      </w:pBdr>
      <w:rPr>
        <w:rFonts w:ascii="Arial" w:hAnsi="Arial" w:cs="Arial"/>
        <w:sz w:val="16"/>
        <w:szCs w:val="16"/>
      </w:rPr>
    </w:pPr>
    <w:r w:rsidRPr="00B62BAE">
      <w:rPr>
        <w:rFonts w:ascii="Arial" w:hAnsi="Arial" w:cs="Arial"/>
        <w:sz w:val="16"/>
        <w:szCs w:val="16"/>
        <w:lang w:val="en-IN"/>
      </w:rPr>
      <w:t>20</w:t>
    </w:r>
    <w:r>
      <w:rPr>
        <w:rFonts w:ascii="Arial" w:hAnsi="Arial" w:cs="Arial"/>
        <w:sz w:val="16"/>
        <w:szCs w:val="16"/>
        <w:lang w:val="en-IN"/>
      </w:rPr>
      <w:t>25</w:t>
    </w:r>
    <w:r w:rsidRPr="00B62BAE">
      <w:rPr>
        <w:rFonts w:ascii="Arial" w:hAnsi="Arial" w:cs="Arial"/>
        <w:sz w:val="16"/>
        <w:szCs w:val="16"/>
        <w:lang w:val="en-IN"/>
      </w:rPr>
      <w:tab/>
    </w:r>
    <w:r>
      <w:rPr>
        <w:rFonts w:ascii="Arial" w:hAnsi="Arial" w:cs="Arial"/>
        <w:sz w:val="16"/>
        <w:szCs w:val="16"/>
        <w:lang w:val="en-IN"/>
      </w:rPr>
      <w:t xml:space="preserve">Sri Preethi A M, Dr. Srinivasan </w:t>
    </w:r>
    <w:proofErr w:type="spellStart"/>
    <w:r>
      <w:rPr>
        <w:rFonts w:ascii="Arial" w:hAnsi="Arial" w:cs="Arial"/>
        <w:sz w:val="16"/>
        <w:szCs w:val="16"/>
        <w:lang w:val="en-IN"/>
      </w:rPr>
      <w:t>Pazhamalai</w:t>
    </w:r>
    <w:proofErr w:type="spellEnd"/>
    <w:r w:rsidRPr="00B62BAE">
      <w:rPr>
        <w:rFonts w:ascii="Arial" w:hAnsi="Arial" w:cs="Arial"/>
        <w:sz w:val="16"/>
        <w:szCs w:val="16"/>
        <w:lang w:val="en-IN"/>
      </w:rPr>
      <w:tab/>
    </w: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sidR="00214F1A">
      <w:rPr>
        <w:rFonts w:ascii="Arial" w:hAnsi="Arial" w:cs="Arial"/>
        <w:noProof/>
        <w:sz w:val="16"/>
        <w:szCs w:val="16"/>
      </w:rPr>
      <w:t>1</w:t>
    </w:r>
    <w:r w:rsidRPr="00B62BAE">
      <w:rPr>
        <w:rFonts w:ascii="Arial" w:hAnsi="Arial" w:cs="Arial"/>
        <w:noProof/>
        <w:sz w:val="16"/>
        <w:szCs w:val="1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4246E0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F00477"/>
    <w:multiLevelType w:val="hybridMultilevel"/>
    <w:tmpl w:val="F4BC6B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DE80B9C"/>
    <w:multiLevelType w:val="hybridMultilevel"/>
    <w:tmpl w:val="46268C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F9E0D5D"/>
    <w:multiLevelType w:val="hybridMultilevel"/>
    <w:tmpl w:val="1CA09D38"/>
    <w:lvl w:ilvl="0" w:tplc="8A2C1C04">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FA21EC0"/>
    <w:multiLevelType w:val="hybridMultilevel"/>
    <w:tmpl w:val="CEA87E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27965B1"/>
    <w:multiLevelType w:val="hybridMultilevel"/>
    <w:tmpl w:val="E43ECC8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9"/>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5034"/>
    <w:rsid w:val="000300A9"/>
    <w:rsid w:val="00034616"/>
    <w:rsid w:val="0006063C"/>
    <w:rsid w:val="00085FDD"/>
    <w:rsid w:val="000E7565"/>
    <w:rsid w:val="000F0C2E"/>
    <w:rsid w:val="0015074B"/>
    <w:rsid w:val="00186743"/>
    <w:rsid w:val="00214F1A"/>
    <w:rsid w:val="00233E75"/>
    <w:rsid w:val="0029639D"/>
    <w:rsid w:val="002B76C4"/>
    <w:rsid w:val="00326F90"/>
    <w:rsid w:val="003932BA"/>
    <w:rsid w:val="003D3A79"/>
    <w:rsid w:val="00454D83"/>
    <w:rsid w:val="004D36E6"/>
    <w:rsid w:val="004D4CF1"/>
    <w:rsid w:val="00534937"/>
    <w:rsid w:val="00632835"/>
    <w:rsid w:val="00737E0F"/>
    <w:rsid w:val="0074224E"/>
    <w:rsid w:val="007E0FCD"/>
    <w:rsid w:val="00864FF7"/>
    <w:rsid w:val="00882F60"/>
    <w:rsid w:val="008B784D"/>
    <w:rsid w:val="008F2B44"/>
    <w:rsid w:val="0098387A"/>
    <w:rsid w:val="009D12AD"/>
    <w:rsid w:val="00AA1D8D"/>
    <w:rsid w:val="00B41238"/>
    <w:rsid w:val="00B47730"/>
    <w:rsid w:val="00CB0664"/>
    <w:rsid w:val="00E5109B"/>
    <w:rsid w:val="00EC587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051B07"/>
  <w14:defaultImageDpi w14:val="300"/>
  <w15:docId w15:val="{8C37AC91-629A-42A9-9CFE-98325AA2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F60"/>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
    <w:name w:val="Body"/>
    <w:rPr>
      <w:rFonts w:ascii="Calibri" w:hAnsi="Calibri"/>
    </w:rPr>
  </w:style>
  <w:style w:type="character" w:styleId="Hyperlink">
    <w:name w:val="Hyperlink"/>
    <w:basedOn w:val="DefaultParagraphFont"/>
    <w:uiPriority w:val="99"/>
    <w:unhideWhenUsed/>
    <w:rsid w:val="00233E75"/>
    <w:rPr>
      <w:color w:val="0000FF" w:themeColor="hyperlink"/>
      <w:u w:val="single"/>
    </w:rPr>
  </w:style>
  <w:style w:type="character" w:customStyle="1" w:styleId="UnresolvedMention1">
    <w:name w:val="Unresolved Mention1"/>
    <w:basedOn w:val="DefaultParagraphFont"/>
    <w:uiPriority w:val="99"/>
    <w:semiHidden/>
    <w:unhideWhenUsed/>
    <w:rsid w:val="00233E75"/>
    <w:rPr>
      <w:color w:val="605E5C"/>
      <w:shd w:val="clear" w:color="auto" w:fill="E1DFDD"/>
    </w:rPr>
  </w:style>
  <w:style w:type="paragraph" w:customStyle="1" w:styleId="Default">
    <w:name w:val="Default"/>
    <w:rsid w:val="0098387A"/>
    <w:pPr>
      <w:autoSpaceDE w:val="0"/>
      <w:autoSpaceDN w:val="0"/>
      <w:adjustRightInd w:val="0"/>
      <w:spacing w:after="0" w:line="240" w:lineRule="auto"/>
    </w:pPr>
    <w:rPr>
      <w:rFonts w:ascii="Arial" w:hAnsi="Arial" w:cs="Arial"/>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175866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AC82F-E265-4DE4-8256-FE9B9672C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2896</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CMS-STAFF139</cp:lastModifiedBy>
  <cp:revision>23</cp:revision>
  <dcterms:created xsi:type="dcterms:W3CDTF">2025-10-24T06:36:00Z</dcterms:created>
  <dcterms:modified xsi:type="dcterms:W3CDTF">2025-11-25T05:00:00Z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2025-10-28T04:10:45Z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2233788e-8b2f-4480-8d4a-27a2933a6283</vt:lpwstr>
  </property>
  <property fmtid="{D5CDD505-2E9C-101B-9397-08002B2CF9AE}" pid="7" name="MSIP_Label_defa4170-0d19-0005-0004-bc88714345d2_ActionId">
    <vt:lpwstr>3453ae2f-0a45-4bb0-aca6-692d7ccc01dc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