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80BC6" w14:textId="59DDB033" w:rsidR="008B5D01" w:rsidRPr="00FA13C3" w:rsidRDefault="008B5D01" w:rsidP="008B5D01">
      <w:pPr>
        <w:spacing w:after="0" w:line="160" w:lineRule="atLeast"/>
        <w:jc w:val="both"/>
        <w:rPr>
          <w:rFonts w:ascii="Arial" w:eastAsia="Arial" w:hAnsi="Arial" w:cs="Arial"/>
          <w:i/>
          <w:color w:val="000000"/>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4D0606">
        <w:rPr>
          <w:rFonts w:ascii="Arial" w:eastAsia="Arial" w:hAnsi="Arial" w:cs="Arial"/>
          <w:i/>
          <w:color w:val="000000"/>
          <w:spacing w:val="-1"/>
          <w:sz w:val="14"/>
          <w:szCs w:val="14"/>
        </w:rPr>
        <w:t xml:space="preserve">                                </w:t>
      </w:r>
      <w:r w:rsidR="003F26C1">
        <w:rPr>
          <w:rFonts w:ascii="Arial" w:eastAsia="Arial" w:hAnsi="Arial" w:cs="Arial"/>
          <w:i/>
          <w:color w:val="000000"/>
          <w:spacing w:val="-1"/>
          <w:sz w:val="14"/>
          <w:szCs w:val="14"/>
        </w:rPr>
        <w:t xml:space="preserve">      </w:t>
      </w:r>
      <w:r w:rsidR="004D0606">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p>
    <w:p w14:paraId="30FAC41A" w14:textId="1CA13CD4" w:rsidR="004D0606" w:rsidRPr="00FA13C3" w:rsidRDefault="008B5D01" w:rsidP="008B5D01">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sidR="00F4147B">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4D0606">
        <w:rPr>
          <w:rFonts w:ascii="Arial" w:eastAsia="Arial" w:hAnsi="Arial" w:cs="Arial"/>
          <w:i/>
          <w:color w:val="000000"/>
          <w:spacing w:val="-1"/>
          <w:sz w:val="14"/>
          <w:szCs w:val="14"/>
        </w:rPr>
        <w:t>Dec</w:t>
      </w:r>
      <w:r w:rsidR="00F4147B">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r w:rsidR="003F26C1">
        <w:rPr>
          <w:rFonts w:ascii="Arial" w:eastAsia="Arial" w:hAnsi="Arial" w:cs="Arial"/>
          <w:i/>
          <w:color w:val="000000"/>
          <w:spacing w:val="-1"/>
          <w:sz w:val="14"/>
          <w:szCs w:val="14"/>
        </w:rPr>
        <w:tab/>
      </w:r>
      <w:r w:rsidR="003F26C1">
        <w:rPr>
          <w:rFonts w:ascii="Arial" w:eastAsia="Arial" w:hAnsi="Arial" w:cs="Arial"/>
          <w:i/>
          <w:color w:val="000000"/>
          <w:spacing w:val="-1"/>
          <w:sz w:val="14"/>
          <w:szCs w:val="14"/>
        </w:rPr>
        <w:tab/>
      </w:r>
      <w:r w:rsidR="003F26C1">
        <w:rPr>
          <w:rFonts w:ascii="Arial" w:eastAsia="Arial" w:hAnsi="Arial" w:cs="Arial"/>
          <w:i/>
          <w:color w:val="000000"/>
          <w:spacing w:val="-1"/>
          <w:sz w:val="14"/>
          <w:szCs w:val="14"/>
        </w:rPr>
        <w:tab/>
      </w:r>
      <w:r w:rsidR="003F26C1">
        <w:rPr>
          <w:rFonts w:ascii="Arial" w:eastAsia="Arial" w:hAnsi="Arial" w:cs="Arial"/>
          <w:i/>
          <w:color w:val="000000"/>
          <w:spacing w:val="-1"/>
          <w:sz w:val="14"/>
          <w:szCs w:val="14"/>
        </w:rPr>
        <w:tab/>
      </w:r>
      <w:r w:rsidR="003F26C1">
        <w:rPr>
          <w:rFonts w:ascii="Arial" w:eastAsia="Arial" w:hAnsi="Arial" w:cs="Arial"/>
          <w:i/>
          <w:color w:val="000000"/>
          <w:spacing w:val="-1"/>
          <w:sz w:val="14"/>
          <w:szCs w:val="14"/>
        </w:rPr>
        <w:tab/>
      </w:r>
      <w:r w:rsidR="003F26C1">
        <w:rPr>
          <w:rFonts w:ascii="Arial" w:eastAsia="Arial" w:hAnsi="Arial" w:cs="Arial"/>
          <w:i/>
          <w:color w:val="000000"/>
          <w:spacing w:val="-1"/>
          <w:sz w:val="14"/>
          <w:szCs w:val="14"/>
        </w:rPr>
        <w:tab/>
      </w:r>
      <w:hyperlink r:id="rId8" w:tgtFrame="_blank" w:history="1">
        <w:r w:rsidR="004D0606" w:rsidRPr="004D0606">
          <w:rPr>
            <w:rStyle w:val="Hyperlink"/>
            <w:rFonts w:ascii="Arial" w:eastAsia="Arial" w:hAnsi="Arial" w:cs="Arial"/>
            <w:i/>
            <w:spacing w:val="-1"/>
            <w:sz w:val="14"/>
            <w:szCs w:val="14"/>
          </w:rPr>
          <w:t>https://doi.org/10.5281/zenodo.17586860</w:t>
        </w:r>
      </w:hyperlink>
    </w:p>
    <w:bookmarkEnd w:id="0"/>
    <w:p w14:paraId="30F664C2" w14:textId="49F5A105" w:rsidR="008B5D01" w:rsidRDefault="008B5D01" w:rsidP="006628F0">
      <w:pPr>
        <w:spacing w:after="0" w:line="360" w:lineRule="auto"/>
        <w:jc w:val="center"/>
        <w:outlineLvl w:val="0"/>
        <w:rPr>
          <w:rFonts w:ascii="Times New Roman" w:eastAsia="Times New Roman" w:hAnsi="Times New Roman" w:cs="Times New Roman"/>
          <w:b/>
          <w:bCs/>
          <w:kern w:val="36"/>
          <w:sz w:val="28"/>
          <w:szCs w:val="48"/>
          <w:lang w:eastAsia="en-IN"/>
        </w:rPr>
      </w:pPr>
    </w:p>
    <w:p w14:paraId="38404CC8" w14:textId="525C0DDF" w:rsidR="00B40D8D" w:rsidRDefault="00B40D8D" w:rsidP="003F26C1">
      <w:pPr>
        <w:spacing w:after="0" w:line="276" w:lineRule="auto"/>
        <w:jc w:val="center"/>
        <w:outlineLvl w:val="0"/>
        <w:rPr>
          <w:rFonts w:ascii="Times New Roman" w:eastAsia="Times New Roman" w:hAnsi="Times New Roman" w:cs="Times New Roman"/>
          <w:b/>
          <w:bCs/>
          <w:kern w:val="36"/>
          <w:sz w:val="32"/>
          <w:szCs w:val="32"/>
          <w:lang w:eastAsia="en-IN"/>
        </w:rPr>
      </w:pPr>
      <w:r w:rsidRPr="008B5D01">
        <w:rPr>
          <w:rFonts w:ascii="Times New Roman" w:eastAsia="Times New Roman" w:hAnsi="Times New Roman" w:cs="Times New Roman"/>
          <w:b/>
          <w:bCs/>
          <w:kern w:val="36"/>
          <w:sz w:val="32"/>
          <w:szCs w:val="32"/>
          <w:lang w:eastAsia="en-IN"/>
        </w:rPr>
        <w:t xml:space="preserve">Assisted </w:t>
      </w:r>
      <w:r w:rsidR="008B5D01" w:rsidRPr="008B5D01">
        <w:rPr>
          <w:rFonts w:ascii="Times New Roman" w:eastAsia="Times New Roman" w:hAnsi="Times New Roman" w:cs="Times New Roman"/>
          <w:b/>
          <w:bCs/>
          <w:kern w:val="36"/>
          <w:sz w:val="32"/>
          <w:szCs w:val="32"/>
          <w:lang w:eastAsia="en-IN"/>
        </w:rPr>
        <w:t xml:space="preserve">Reconciliation </w:t>
      </w:r>
      <w:r w:rsidRPr="008B5D01">
        <w:rPr>
          <w:rFonts w:ascii="Times New Roman" w:eastAsia="Times New Roman" w:hAnsi="Times New Roman" w:cs="Times New Roman"/>
          <w:b/>
          <w:bCs/>
          <w:kern w:val="36"/>
          <w:sz w:val="32"/>
          <w:szCs w:val="32"/>
          <w:lang w:eastAsia="en-IN"/>
        </w:rPr>
        <w:t xml:space="preserve">in </w:t>
      </w:r>
      <w:r w:rsidR="008B5D01" w:rsidRPr="008B5D01">
        <w:rPr>
          <w:rFonts w:ascii="Times New Roman" w:eastAsia="Times New Roman" w:hAnsi="Times New Roman" w:cs="Times New Roman"/>
          <w:b/>
          <w:bCs/>
          <w:kern w:val="36"/>
          <w:sz w:val="32"/>
          <w:szCs w:val="32"/>
          <w:lang w:eastAsia="en-IN"/>
        </w:rPr>
        <w:t>Practice</w:t>
      </w:r>
      <w:r w:rsidRPr="008B5D01">
        <w:rPr>
          <w:rFonts w:ascii="Times New Roman" w:eastAsia="Times New Roman" w:hAnsi="Times New Roman" w:cs="Times New Roman"/>
          <w:b/>
          <w:bCs/>
          <w:kern w:val="36"/>
          <w:sz w:val="32"/>
          <w:szCs w:val="32"/>
          <w:lang w:eastAsia="en-IN"/>
        </w:rPr>
        <w:t xml:space="preserve">: </w:t>
      </w:r>
      <w:r w:rsidR="006628F0" w:rsidRPr="008B5D01">
        <w:rPr>
          <w:rFonts w:ascii="Times New Roman" w:eastAsia="Times New Roman" w:hAnsi="Times New Roman" w:cs="Times New Roman"/>
          <w:b/>
          <w:bCs/>
          <w:kern w:val="36"/>
          <w:sz w:val="32"/>
          <w:szCs w:val="32"/>
          <w:lang w:eastAsia="en-IN"/>
        </w:rPr>
        <w:t xml:space="preserve">A </w:t>
      </w:r>
      <w:r w:rsidR="008B5D01" w:rsidRPr="008B5D01">
        <w:rPr>
          <w:rFonts w:ascii="Times New Roman" w:eastAsia="Times New Roman" w:hAnsi="Times New Roman" w:cs="Times New Roman"/>
          <w:b/>
          <w:bCs/>
          <w:kern w:val="36"/>
          <w:sz w:val="32"/>
          <w:szCs w:val="32"/>
          <w:lang w:eastAsia="en-IN"/>
        </w:rPr>
        <w:t xml:space="preserve">Ninety-Day Pilot </w:t>
      </w:r>
      <w:r w:rsidRPr="008B5D01">
        <w:rPr>
          <w:rFonts w:ascii="Times New Roman" w:eastAsia="Times New Roman" w:hAnsi="Times New Roman" w:cs="Times New Roman"/>
          <w:b/>
          <w:bCs/>
          <w:kern w:val="36"/>
          <w:sz w:val="32"/>
          <w:szCs w:val="32"/>
          <w:lang w:eastAsia="en-IN"/>
        </w:rPr>
        <w:t>at InstaFiling</w:t>
      </w:r>
    </w:p>
    <w:p w14:paraId="32659DEE" w14:textId="77777777" w:rsidR="003F26C1" w:rsidRPr="003F26C1" w:rsidRDefault="003F26C1" w:rsidP="003F26C1">
      <w:pPr>
        <w:spacing w:after="0" w:line="276" w:lineRule="auto"/>
        <w:jc w:val="center"/>
        <w:outlineLvl w:val="0"/>
        <w:rPr>
          <w:rFonts w:ascii="Times New Roman" w:eastAsia="Times New Roman" w:hAnsi="Times New Roman" w:cs="Times New Roman"/>
          <w:b/>
          <w:bCs/>
          <w:kern w:val="36"/>
          <w:sz w:val="16"/>
          <w:szCs w:val="16"/>
          <w:lang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870"/>
      </w:tblGrid>
      <w:tr w:rsidR="008B5D01" w14:paraId="6CD86E96" w14:textId="77777777" w:rsidTr="008B5D01">
        <w:trPr>
          <w:jc w:val="center"/>
        </w:trPr>
        <w:tc>
          <w:tcPr>
            <w:tcW w:w="3595" w:type="dxa"/>
          </w:tcPr>
          <w:p w14:paraId="29103A5D" w14:textId="77777777" w:rsidR="008B5D01" w:rsidRPr="008B5D01" w:rsidRDefault="008B5D01" w:rsidP="008B5D01">
            <w:pPr>
              <w:jc w:val="center"/>
              <w:rPr>
                <w:rFonts w:ascii="Calibri" w:eastAsia="Times New Roman" w:hAnsi="Calibri" w:cs="Calibri"/>
                <w:b/>
                <w:bCs/>
                <w:i/>
                <w:iCs/>
                <w:color w:val="000000"/>
                <w:sz w:val="16"/>
                <w:szCs w:val="16"/>
                <w:lang w:eastAsia="en-IN"/>
              </w:rPr>
            </w:pPr>
            <w:r w:rsidRPr="008B5D01">
              <w:rPr>
                <w:rFonts w:ascii="Calibri" w:eastAsia="Times New Roman" w:hAnsi="Calibri" w:cs="Calibri"/>
                <w:b/>
                <w:bCs/>
                <w:i/>
                <w:iCs/>
                <w:color w:val="000000"/>
                <w:sz w:val="16"/>
                <w:szCs w:val="16"/>
                <w:lang w:eastAsia="en-IN"/>
              </w:rPr>
              <w:t>Ms. Meghana</w:t>
            </w:r>
          </w:p>
          <w:p w14:paraId="6E9BC5D1" w14:textId="78F96480" w:rsidR="008B5D01" w:rsidRPr="008B5D01" w:rsidRDefault="008B5D01" w:rsidP="008B5D01">
            <w:pPr>
              <w:jc w:val="center"/>
              <w:rPr>
                <w:rFonts w:ascii="Calibri" w:eastAsia="Times New Roman" w:hAnsi="Calibri" w:cs="Calibri"/>
                <w:color w:val="000000"/>
                <w:sz w:val="16"/>
                <w:szCs w:val="16"/>
                <w:lang w:eastAsia="en-IN"/>
              </w:rPr>
            </w:pPr>
            <w:r w:rsidRPr="008B5D01">
              <w:rPr>
                <w:rFonts w:ascii="Calibri" w:eastAsia="Times New Roman" w:hAnsi="Calibri" w:cs="Calibri"/>
                <w:color w:val="000000"/>
                <w:sz w:val="16"/>
                <w:szCs w:val="16"/>
                <w:lang w:eastAsia="en-IN"/>
              </w:rPr>
              <w:t xml:space="preserve">MBA Student, Faculty of Management Studies, </w:t>
            </w:r>
            <w:r>
              <w:rPr>
                <w:rFonts w:ascii="Calibri" w:eastAsia="Times New Roman" w:hAnsi="Calibri" w:cs="Calibri"/>
                <w:color w:val="000000"/>
                <w:sz w:val="16"/>
                <w:szCs w:val="16"/>
                <w:lang w:eastAsia="en-IN"/>
              </w:rPr>
              <w:br/>
            </w:r>
            <w:r w:rsidRPr="008B5D01">
              <w:rPr>
                <w:rFonts w:ascii="Calibri" w:eastAsia="Times New Roman" w:hAnsi="Calibri" w:cs="Calibri"/>
                <w:color w:val="000000"/>
                <w:sz w:val="16"/>
                <w:szCs w:val="16"/>
                <w:lang w:eastAsia="en-IN"/>
              </w:rPr>
              <w:t xml:space="preserve">CMS Business School, </w:t>
            </w:r>
          </w:p>
          <w:p w14:paraId="52C7AE52" w14:textId="5681FA97" w:rsidR="008B5D01" w:rsidRPr="008B5D01" w:rsidRDefault="008B5D01" w:rsidP="008B5D01">
            <w:pPr>
              <w:jc w:val="center"/>
              <w:rPr>
                <w:rFonts w:ascii="Calibri" w:eastAsia="Times New Roman" w:hAnsi="Calibri" w:cs="Calibri"/>
                <w:color w:val="000000"/>
                <w:sz w:val="16"/>
                <w:szCs w:val="16"/>
                <w:lang w:eastAsia="en-IN"/>
              </w:rPr>
            </w:pPr>
            <w:r w:rsidRPr="008B5D01">
              <w:rPr>
                <w:rFonts w:ascii="Calibri" w:eastAsia="Times New Roman" w:hAnsi="Calibri" w:cs="Calibri"/>
                <w:color w:val="000000"/>
                <w:sz w:val="16"/>
                <w:szCs w:val="16"/>
                <w:lang w:eastAsia="en-IN"/>
              </w:rPr>
              <w:t>JAIN (Deemed-to-be University), Bangalore, India.</w:t>
            </w:r>
          </w:p>
        </w:tc>
        <w:tc>
          <w:tcPr>
            <w:tcW w:w="3870" w:type="dxa"/>
          </w:tcPr>
          <w:p w14:paraId="53A7E54B" w14:textId="77777777" w:rsidR="008B5D01" w:rsidRPr="008B5D01" w:rsidRDefault="008B5D01" w:rsidP="008B5D01">
            <w:pPr>
              <w:jc w:val="center"/>
              <w:rPr>
                <w:rFonts w:ascii="Calibri" w:eastAsia="Times New Roman" w:hAnsi="Calibri" w:cs="Calibri"/>
                <w:b/>
                <w:bCs/>
                <w:i/>
                <w:iCs/>
                <w:color w:val="000000"/>
                <w:sz w:val="16"/>
                <w:szCs w:val="16"/>
                <w:lang w:eastAsia="en-IN"/>
              </w:rPr>
            </w:pPr>
            <w:r w:rsidRPr="008B5D01">
              <w:rPr>
                <w:rFonts w:ascii="Calibri" w:eastAsia="Times New Roman" w:hAnsi="Calibri" w:cs="Calibri"/>
                <w:b/>
                <w:bCs/>
                <w:i/>
                <w:iCs/>
                <w:color w:val="000000"/>
                <w:sz w:val="16"/>
                <w:szCs w:val="16"/>
                <w:lang w:eastAsia="en-IN"/>
              </w:rPr>
              <w:t>Dr. Salma Begum</w:t>
            </w:r>
          </w:p>
          <w:p w14:paraId="6B1443D0" w14:textId="12916B54" w:rsidR="008B5D01" w:rsidRPr="008B5D01" w:rsidRDefault="008B5D01" w:rsidP="008B5D01">
            <w:pPr>
              <w:jc w:val="center"/>
              <w:rPr>
                <w:rFonts w:ascii="Calibri" w:eastAsia="Times New Roman" w:hAnsi="Calibri" w:cs="Calibri"/>
                <w:color w:val="000000"/>
                <w:sz w:val="16"/>
                <w:szCs w:val="16"/>
                <w:lang w:eastAsia="en-IN"/>
              </w:rPr>
            </w:pPr>
            <w:r w:rsidRPr="008B5D01">
              <w:rPr>
                <w:rFonts w:ascii="Calibri" w:eastAsia="Times New Roman" w:hAnsi="Calibri" w:cs="Calibri"/>
                <w:color w:val="000000"/>
                <w:sz w:val="16"/>
                <w:szCs w:val="16"/>
                <w:lang w:eastAsia="en-IN"/>
              </w:rPr>
              <w:t xml:space="preserve">Associate Professor, Faculty of Management Studies, </w:t>
            </w:r>
            <w:r>
              <w:rPr>
                <w:rFonts w:ascii="Calibri" w:eastAsia="Times New Roman" w:hAnsi="Calibri" w:cs="Calibri"/>
                <w:color w:val="000000"/>
                <w:sz w:val="16"/>
                <w:szCs w:val="16"/>
                <w:lang w:eastAsia="en-IN"/>
              </w:rPr>
              <w:br/>
            </w:r>
            <w:r w:rsidRPr="008B5D01">
              <w:rPr>
                <w:rFonts w:ascii="Calibri" w:eastAsia="Times New Roman" w:hAnsi="Calibri" w:cs="Calibri"/>
                <w:color w:val="000000"/>
                <w:sz w:val="16"/>
                <w:szCs w:val="16"/>
                <w:lang w:eastAsia="en-IN"/>
              </w:rPr>
              <w:t xml:space="preserve">CMS Business School, </w:t>
            </w:r>
          </w:p>
          <w:p w14:paraId="517767DD" w14:textId="7A10E22F" w:rsidR="008B5D01" w:rsidRPr="008B5D01" w:rsidRDefault="008B5D01" w:rsidP="008B5D01">
            <w:pPr>
              <w:jc w:val="center"/>
              <w:rPr>
                <w:rFonts w:ascii="Calibri" w:eastAsia="Times New Roman" w:hAnsi="Calibri" w:cs="Calibri"/>
                <w:color w:val="000000"/>
                <w:sz w:val="16"/>
                <w:szCs w:val="16"/>
                <w:lang w:eastAsia="en-IN"/>
              </w:rPr>
            </w:pPr>
            <w:r w:rsidRPr="008B5D01">
              <w:rPr>
                <w:rFonts w:ascii="Calibri" w:eastAsia="Times New Roman" w:hAnsi="Calibri" w:cs="Calibri"/>
                <w:color w:val="000000"/>
                <w:sz w:val="16"/>
                <w:szCs w:val="16"/>
                <w:lang w:eastAsia="en-IN"/>
              </w:rPr>
              <w:t xml:space="preserve">JAIN (Deemed-to-be University), Bangalore, India. </w:t>
            </w:r>
          </w:p>
        </w:tc>
      </w:tr>
    </w:tbl>
    <w:p w14:paraId="64367256" w14:textId="77777777" w:rsidR="008B5D01" w:rsidRDefault="008B5D01" w:rsidP="00FE69F2">
      <w:pPr>
        <w:spacing w:after="0" w:line="240" w:lineRule="auto"/>
        <w:jc w:val="center"/>
        <w:rPr>
          <w:rFonts w:ascii="Times New Roman" w:eastAsia="Times New Roman" w:hAnsi="Times New Roman" w:cs="Times New Roman"/>
          <w:b/>
          <w:bCs/>
          <w:color w:val="000000"/>
          <w:sz w:val="24"/>
          <w:szCs w:val="24"/>
          <w:lang w:eastAsia="en-IN"/>
        </w:rPr>
      </w:pPr>
    </w:p>
    <w:p w14:paraId="734EECA2" w14:textId="77777777" w:rsidR="00FE69F2" w:rsidRPr="008B5D01" w:rsidRDefault="00FE69F2" w:rsidP="00FE69F2">
      <w:pPr>
        <w:spacing w:after="0" w:line="240" w:lineRule="auto"/>
        <w:jc w:val="center"/>
        <w:rPr>
          <w:rFonts w:ascii="Times New Roman" w:eastAsia="Times New Roman" w:hAnsi="Times New Roman" w:cs="Times New Roman"/>
          <w:color w:val="000000"/>
          <w:sz w:val="2"/>
          <w:szCs w:val="2"/>
          <w:lang w:eastAsia="en-IN"/>
        </w:rPr>
      </w:pPr>
    </w:p>
    <w:p w14:paraId="2BB10CF7" w14:textId="77777777" w:rsidR="00B40D8D" w:rsidRPr="008B5D01" w:rsidRDefault="001E3808" w:rsidP="008B5D01">
      <w:pPr>
        <w:spacing w:after="0" w:line="240" w:lineRule="auto"/>
        <w:ind w:left="720" w:right="386"/>
        <w:jc w:val="center"/>
        <w:outlineLvl w:val="0"/>
        <w:rPr>
          <w:rFonts w:ascii="Arial" w:eastAsia="Times New Roman" w:hAnsi="Arial" w:cs="Arial"/>
          <w:b/>
          <w:bCs/>
          <w:i/>
          <w:iCs/>
          <w:kern w:val="36"/>
          <w:sz w:val="18"/>
          <w:szCs w:val="18"/>
          <w:lang w:eastAsia="en-IN"/>
        </w:rPr>
      </w:pPr>
      <w:r w:rsidRPr="008B5D01">
        <w:rPr>
          <w:rFonts w:ascii="Arial" w:eastAsia="Times New Roman" w:hAnsi="Arial" w:cs="Arial"/>
          <w:b/>
          <w:bCs/>
          <w:i/>
          <w:iCs/>
          <w:kern w:val="36"/>
          <w:sz w:val="18"/>
          <w:szCs w:val="18"/>
          <w:lang w:eastAsia="en-IN"/>
        </w:rPr>
        <w:t>Abstract</w:t>
      </w:r>
    </w:p>
    <w:p w14:paraId="3BB0E6B6" w14:textId="77777777" w:rsidR="008B5D01" w:rsidRPr="008B5D01" w:rsidRDefault="008B5D01" w:rsidP="008B5D01">
      <w:pPr>
        <w:spacing w:after="0" w:line="240" w:lineRule="auto"/>
        <w:ind w:left="720" w:right="386"/>
        <w:outlineLvl w:val="0"/>
        <w:rPr>
          <w:rFonts w:ascii="Arial" w:eastAsia="Times New Roman" w:hAnsi="Arial" w:cs="Arial"/>
          <w:b/>
          <w:bCs/>
          <w:kern w:val="36"/>
          <w:sz w:val="18"/>
          <w:szCs w:val="18"/>
          <w:lang w:eastAsia="en-IN"/>
        </w:rPr>
      </w:pPr>
    </w:p>
    <w:p w14:paraId="58C4808A" w14:textId="5306CAE4" w:rsidR="001E3808" w:rsidRDefault="00FE69F2" w:rsidP="008B5D01">
      <w:pPr>
        <w:spacing w:after="0" w:line="240" w:lineRule="auto"/>
        <w:ind w:left="720" w:right="386"/>
        <w:jc w:val="both"/>
        <w:rPr>
          <w:rFonts w:ascii="Arial" w:eastAsia="Times New Roman" w:hAnsi="Arial" w:cs="Arial"/>
          <w:sz w:val="18"/>
          <w:szCs w:val="18"/>
          <w:lang w:eastAsia="en-IN"/>
        </w:rPr>
      </w:pPr>
      <w:r w:rsidRPr="008B5D01">
        <w:rPr>
          <w:rFonts w:ascii="Arial" w:eastAsia="Times New Roman" w:hAnsi="Arial" w:cs="Arial"/>
          <w:sz w:val="18"/>
          <w:szCs w:val="18"/>
          <w:lang w:eastAsia="en-IN"/>
        </w:rPr>
        <w:t>InstaFiling is a technology-enabled compliance services company that helps MSMEs and start-ups all over India with their GST returns, income tax, TDS and TCS, financial statements, and advice.  The industry is quickly going digital thanks to GST and ROC portals, e-invoicing, and cloud accounting. However, it is hard to carry out these changes because of changing rules, overlapping deadlines, and clients who are not ready for digital.  InstaFiling's main choice is how to combine process standardization, workload smoothing, and AI-assisted reconciliation to improve first-pass accuracy, cut down on rework hours, boost on-time filings, and protect margins in a market where prices are important.  Students will use an exhibit-driven data pack to find out how well things are going right now, figure out where the problems are in getting and reconciling client data, and compare three strategies: automation and standardization, smoothing out workloads and upskilling, and dividing clients into groups and giving them more power.  The analysis ends with a ninety-day pilot that includes a scorecard and a Client Compliance Reliability Score to help prioritize work and make sure that service levels are consistent.  The case helps students learn how to combine process redesign, analytics, and human-in-the-loop controls, measure trade-offs when things are uncertain, and make suggestions that take into account effectiveness, cost, and adoption risk in a professional services setting that serves a wide range of MSME clients.</w:t>
      </w:r>
    </w:p>
    <w:p w14:paraId="00EE8C36" w14:textId="77777777" w:rsidR="008B5D01" w:rsidRPr="008B5D01" w:rsidRDefault="008B5D01" w:rsidP="008B5D01">
      <w:pPr>
        <w:spacing w:after="0" w:line="240" w:lineRule="auto"/>
        <w:ind w:left="720" w:right="386"/>
        <w:jc w:val="both"/>
        <w:rPr>
          <w:rFonts w:ascii="Arial" w:eastAsia="Times New Roman" w:hAnsi="Arial" w:cs="Arial"/>
          <w:sz w:val="18"/>
          <w:szCs w:val="18"/>
          <w:lang w:eastAsia="en-IN"/>
        </w:rPr>
      </w:pPr>
    </w:p>
    <w:p w14:paraId="05841F81" w14:textId="77777777" w:rsidR="00B40D8D" w:rsidRPr="008B5D01" w:rsidRDefault="00B40D8D" w:rsidP="008B5D01">
      <w:pPr>
        <w:spacing w:after="0" w:line="240" w:lineRule="auto"/>
        <w:ind w:left="720" w:right="386"/>
        <w:jc w:val="both"/>
        <w:rPr>
          <w:rFonts w:ascii="Arial" w:eastAsia="Times New Roman" w:hAnsi="Arial" w:cs="Arial"/>
          <w:sz w:val="18"/>
          <w:szCs w:val="18"/>
          <w:lang w:eastAsia="en-IN"/>
        </w:rPr>
      </w:pPr>
      <w:r w:rsidRPr="008B5D01">
        <w:rPr>
          <w:rFonts w:ascii="Arial" w:eastAsia="Times New Roman" w:hAnsi="Arial" w:cs="Arial"/>
          <w:b/>
          <w:bCs/>
          <w:sz w:val="18"/>
          <w:szCs w:val="18"/>
          <w:lang w:eastAsia="en-IN"/>
        </w:rPr>
        <w:t xml:space="preserve">Keywords: </w:t>
      </w:r>
      <w:r w:rsidRPr="008B5D01">
        <w:rPr>
          <w:rFonts w:ascii="Arial" w:eastAsia="Times New Roman" w:hAnsi="Arial" w:cs="Arial"/>
          <w:sz w:val="18"/>
          <w:szCs w:val="18"/>
          <w:lang w:eastAsia="en-IN"/>
        </w:rPr>
        <w:t>Compliance operations, GST and e-invoicing, Process standardisation, AI assisted reconciliation, MSME services</w:t>
      </w:r>
    </w:p>
    <w:p w14:paraId="38B94485" w14:textId="77777777" w:rsidR="001E3808" w:rsidRPr="00B40D8D" w:rsidRDefault="001E3808" w:rsidP="006628F0">
      <w:pPr>
        <w:spacing w:after="0" w:line="360" w:lineRule="auto"/>
        <w:jc w:val="both"/>
        <w:rPr>
          <w:rFonts w:ascii="Times New Roman" w:eastAsia="Times New Roman" w:hAnsi="Times New Roman" w:cs="Times New Roman"/>
          <w:sz w:val="24"/>
          <w:szCs w:val="24"/>
          <w:lang w:eastAsia="en-IN"/>
        </w:rPr>
      </w:pPr>
    </w:p>
    <w:p w14:paraId="7FC97D2E" w14:textId="77777777" w:rsidR="008B5D01" w:rsidRDefault="008B5D01" w:rsidP="008B5D01">
      <w:pPr>
        <w:spacing w:after="120" w:line="276" w:lineRule="auto"/>
        <w:outlineLvl w:val="1"/>
        <w:rPr>
          <w:rFonts w:ascii="Arial" w:eastAsia="Times New Roman" w:hAnsi="Arial" w:cs="Arial"/>
          <w:b/>
          <w:bCs/>
          <w:lang w:eastAsia="en-IN"/>
        </w:rPr>
        <w:sectPr w:rsidR="008B5D01" w:rsidSect="008B5D01">
          <w:headerReference w:type="even" r:id="rId9"/>
          <w:headerReference w:type="default" r:id="rId10"/>
          <w:pgSz w:w="11906" w:h="16838" w:code="9"/>
          <w:pgMar w:top="1440" w:right="1440" w:bottom="1440" w:left="1440" w:header="1008" w:footer="720" w:gutter="0"/>
          <w:pgNumType w:start="14"/>
          <w:cols w:space="708"/>
          <w:docGrid w:linePitch="360"/>
        </w:sectPr>
      </w:pPr>
    </w:p>
    <w:p w14:paraId="3686860C" w14:textId="77777777" w:rsidR="00B40D8D" w:rsidRPr="008B5D01" w:rsidRDefault="00B40D8D" w:rsidP="008B5D01">
      <w:pPr>
        <w:spacing w:after="120" w:line="276" w:lineRule="auto"/>
        <w:jc w:val="center"/>
        <w:outlineLvl w:val="1"/>
        <w:rPr>
          <w:rFonts w:ascii="Arial" w:eastAsia="Times New Roman" w:hAnsi="Arial" w:cs="Arial"/>
          <w:b/>
          <w:bCs/>
          <w:caps/>
          <w:lang w:eastAsia="en-IN"/>
        </w:rPr>
      </w:pPr>
      <w:r w:rsidRPr="008B5D01">
        <w:rPr>
          <w:rFonts w:ascii="Arial" w:eastAsia="Times New Roman" w:hAnsi="Arial" w:cs="Arial"/>
          <w:b/>
          <w:bCs/>
          <w:caps/>
          <w:lang w:eastAsia="en-IN"/>
        </w:rPr>
        <w:t>Case</w:t>
      </w:r>
      <w:r w:rsidR="001E3808" w:rsidRPr="008B5D01">
        <w:rPr>
          <w:rFonts w:ascii="Arial" w:eastAsia="Times New Roman" w:hAnsi="Arial" w:cs="Arial"/>
          <w:b/>
          <w:bCs/>
          <w:caps/>
          <w:lang w:eastAsia="en-IN"/>
        </w:rPr>
        <w:t xml:space="preserve"> Introduction</w:t>
      </w:r>
    </w:p>
    <w:p w14:paraId="422B601F" w14:textId="77777777" w:rsidR="00FE69F2" w:rsidRPr="008B5D01" w:rsidRDefault="00FE69F2" w:rsidP="008B5D01">
      <w:pPr>
        <w:pStyle w:val="Heading1"/>
        <w:spacing w:before="0" w:beforeAutospacing="0" w:after="120" w:afterAutospacing="0" w:line="276" w:lineRule="auto"/>
        <w:ind w:firstLine="720"/>
        <w:jc w:val="both"/>
        <w:rPr>
          <w:rFonts w:ascii="Arial" w:hAnsi="Arial" w:cs="Arial"/>
          <w:b w:val="0"/>
          <w:bCs w:val="0"/>
          <w:kern w:val="0"/>
          <w:sz w:val="22"/>
          <w:szCs w:val="22"/>
        </w:rPr>
      </w:pPr>
      <w:r w:rsidRPr="008B5D01">
        <w:rPr>
          <w:rFonts w:ascii="Arial" w:hAnsi="Arial" w:cs="Arial"/>
          <w:b w:val="0"/>
          <w:bCs w:val="0"/>
          <w:kern w:val="0"/>
          <w:sz w:val="22"/>
          <w:szCs w:val="22"/>
        </w:rPr>
        <w:t xml:space="preserve">India's compliance services are quickly going digital thanks to GST, e-invoicing, and ROC portals. However, not all MSMEs and start-ups are using them.  Digital roadmaps are only useful when the right skills and support are given to clients who are ready for them (Buteau, 2021; Shukla &amp; Singh Saluja, 2025).  For companies like InstaFiling, the main execution risk is the quality of the data at intake—not just its accuracy, but also its completeness, timeliness, and accessibility. These "fitness-for-use" defects lead directly to rework, delays, and mistakes in judgment (Wang &amp; Strong, 1996; Tran Thanh Thuy et al., 2025).  Process scholarship advocates for the standardization of business processes to mitigate variance, elucidate handoffs, and facilitate automation, especially in contexts </w:t>
      </w:r>
      <w:r w:rsidRPr="008B5D01">
        <w:rPr>
          <w:rFonts w:ascii="Arial" w:hAnsi="Arial" w:cs="Arial"/>
          <w:b w:val="0"/>
          <w:bCs w:val="0"/>
          <w:kern w:val="0"/>
          <w:sz w:val="22"/>
          <w:szCs w:val="22"/>
        </w:rPr>
        <w:t xml:space="preserve">where deadline clusters exacerbate operational stress (Goel et al., 2023).  Recent research in AIS and finance supports a "machine-suggest, human-verify" model for reconciliation. AI sorts bank transactions and flags GST-2B mismatches, while human reviewers look at low-confidence items and edge cases to learn and manage risk (Abbas et al., 2025; Kotios et al., 2022).  Because arrivals peak around statutory deadlines, queueing principles imply that smoothing work, protecting review buffers, and advancing locks materially improve service times and first-pass accuracy; timely, simplified nudges further raise on-time compliance behaviour’s (Green, 2011; De Neve et al., 2019).  The case proposes a ninety-day pilot that integrates minimum-viable intake gates, triage, workload pacing, and assisted reconciliation, supported by a </w:t>
      </w:r>
      <w:r w:rsidRPr="008B5D01">
        <w:rPr>
          <w:rFonts w:ascii="Arial" w:hAnsi="Arial" w:cs="Arial"/>
          <w:b w:val="0"/>
          <w:bCs w:val="0"/>
          <w:kern w:val="0"/>
          <w:sz w:val="22"/>
          <w:szCs w:val="22"/>
        </w:rPr>
        <w:lastRenderedPageBreak/>
        <w:t>Client Compliance Reliability Score and a concise scorecard.  The end result is a practical, evidence-based way to improve accuracy, reduce rework, increase on-time filings, and protect margins in a price-sensitive MSME environment with changing demand.</w:t>
      </w:r>
    </w:p>
    <w:p w14:paraId="353C29D9" w14:textId="125AD85F" w:rsidR="001E3808" w:rsidRPr="008B5D01" w:rsidRDefault="001E3808" w:rsidP="008B5D01">
      <w:pPr>
        <w:pStyle w:val="Heading1"/>
        <w:spacing w:before="0" w:beforeAutospacing="0" w:after="120" w:afterAutospacing="0" w:line="276" w:lineRule="auto"/>
        <w:rPr>
          <w:rFonts w:ascii="Arial" w:hAnsi="Arial" w:cs="Arial"/>
          <w:sz w:val="22"/>
          <w:szCs w:val="22"/>
        </w:rPr>
      </w:pPr>
      <w:r w:rsidRPr="008B5D01">
        <w:rPr>
          <w:rFonts w:ascii="Arial" w:hAnsi="Arial" w:cs="Arial"/>
          <w:sz w:val="22"/>
          <w:szCs w:val="22"/>
        </w:rPr>
        <w:t>Indian Compliance Services</w:t>
      </w:r>
    </w:p>
    <w:p w14:paraId="3694868B" w14:textId="77777777" w:rsidR="00FE69F2" w:rsidRPr="008B5D01" w:rsidRDefault="00FE69F2" w:rsidP="008B5D01">
      <w:pPr>
        <w:pStyle w:val="NormalWeb"/>
        <w:spacing w:before="0" w:beforeAutospacing="0" w:after="120" w:afterAutospacing="0" w:line="276" w:lineRule="auto"/>
        <w:ind w:firstLine="720"/>
        <w:jc w:val="both"/>
        <w:rPr>
          <w:rFonts w:ascii="Arial" w:hAnsi="Arial" w:cs="Arial"/>
          <w:sz w:val="22"/>
          <w:szCs w:val="22"/>
        </w:rPr>
      </w:pPr>
      <w:r w:rsidRPr="008B5D01">
        <w:rPr>
          <w:rFonts w:ascii="Arial" w:hAnsi="Arial" w:cs="Arial"/>
          <w:sz w:val="22"/>
          <w:szCs w:val="22"/>
        </w:rPr>
        <w:t>The compliance services industry in India is at the crossroads of rapid formalization and faster digitization.  GST, e-invoicing, and ROC portals have made reporting more standardized and cut down on paperwork. However, not all MSMEs and start-ups have adopted them or are able to use them, which means that readiness and data hygiene vary widely (Buteau, 2021).  Competitive intensity includes national platforms, mid-tier firms, and regional practices that compete on price, speed, and perceived accuracy. In this setting, process discipline, not just "tools alone," is becoming more important for getting different results (Goel, Bandara, &amp; Gable, 2023).  The last mile of data quality—completeness, timeliness, and accessibility—is what really holds things up. It leads to rework, exception queues, and filing delays during clustered statutory deadlines (Wang &amp; Strong, 1996).</w:t>
      </w:r>
    </w:p>
    <w:p w14:paraId="393B2D7B" w14:textId="77777777" w:rsidR="00FE69F2" w:rsidRPr="008B5D01" w:rsidRDefault="00FE69F2" w:rsidP="008B5D01">
      <w:pPr>
        <w:pStyle w:val="NormalWeb"/>
        <w:spacing w:before="0" w:beforeAutospacing="0" w:after="120" w:afterAutospacing="0" w:line="276" w:lineRule="auto"/>
        <w:ind w:firstLine="720"/>
        <w:jc w:val="both"/>
        <w:rPr>
          <w:rFonts w:ascii="Arial" w:hAnsi="Arial" w:cs="Arial"/>
          <w:sz w:val="22"/>
          <w:szCs w:val="22"/>
        </w:rPr>
      </w:pPr>
      <w:r w:rsidRPr="008B5D01">
        <w:rPr>
          <w:rFonts w:ascii="Arial" w:hAnsi="Arial" w:cs="Arial"/>
          <w:sz w:val="22"/>
          <w:szCs w:val="22"/>
        </w:rPr>
        <w:t xml:space="preserve"> Reconciliation is still the hardest part. When you're under time pressure, you often have to use your judgment to match GST 2B with purchase books and sort bank transactions.  New evidence backs up a model where AI suggests classifications, points out outliers, and explains confidence, while professionals check low-confidence and edge cases (Kotios et al., 2022).  Because arrivals spike near due dates, queueing-aware workload smoothing—early document locks, staggered cadences, protected review windows—reduces deadline compression; meanwhile, behaviourally informed, action-oriented nudges to clients measurably </w:t>
      </w:r>
      <w:r w:rsidRPr="008B5D01">
        <w:rPr>
          <w:rFonts w:ascii="Arial" w:hAnsi="Arial" w:cs="Arial"/>
          <w:sz w:val="22"/>
          <w:szCs w:val="22"/>
        </w:rPr>
        <w:t>raise on-time compliance at low cost (De Neve, Imbert, Spinnewijn, Tsankova, &amp; Luts, 2019).</w:t>
      </w:r>
    </w:p>
    <w:p w14:paraId="330875A2" w14:textId="77777777" w:rsidR="00FE69F2" w:rsidRPr="008B5D01" w:rsidRDefault="00FE69F2" w:rsidP="008B5D01">
      <w:pPr>
        <w:spacing w:after="120" w:line="276" w:lineRule="auto"/>
        <w:ind w:firstLine="720"/>
        <w:jc w:val="both"/>
        <w:outlineLvl w:val="2"/>
        <w:rPr>
          <w:rFonts w:ascii="Arial" w:eastAsia="Times New Roman" w:hAnsi="Arial" w:cs="Arial"/>
          <w:lang w:eastAsia="en-IN"/>
        </w:rPr>
      </w:pPr>
      <w:r w:rsidRPr="008B5D01">
        <w:rPr>
          <w:rFonts w:ascii="Arial" w:eastAsia="Times New Roman" w:hAnsi="Arial" w:cs="Arial"/>
          <w:lang w:eastAsia="en-IN"/>
        </w:rPr>
        <w:t>The industry's frontier includes minimum-viable intake gates, standardized workflows, assisted reconciliation, and client enablement.  Providers that put these parts into action with clear metrics and governance get more accurate first-pass results, fewer hours spent on rework, and reliable on-time filing. They also protect their margins in a price-sensitive MSME market that is always changing its rules.</w:t>
      </w:r>
    </w:p>
    <w:p w14:paraId="1B50BC8B" w14:textId="0DDB5996" w:rsidR="00B40D8D" w:rsidRPr="008B5D01" w:rsidRDefault="00B40D8D" w:rsidP="008B5D01">
      <w:pPr>
        <w:spacing w:after="120" w:line="276" w:lineRule="auto"/>
        <w:outlineLvl w:val="2"/>
        <w:rPr>
          <w:rFonts w:ascii="Arial" w:eastAsia="Times New Roman" w:hAnsi="Arial" w:cs="Arial"/>
          <w:b/>
          <w:bCs/>
          <w:lang w:eastAsia="en-IN"/>
        </w:rPr>
      </w:pPr>
      <w:r w:rsidRPr="008B5D01">
        <w:rPr>
          <w:rFonts w:ascii="Arial" w:eastAsia="Times New Roman" w:hAnsi="Arial" w:cs="Arial"/>
          <w:b/>
          <w:bCs/>
          <w:lang w:eastAsia="en-IN"/>
        </w:rPr>
        <w:t>Problems in the industry</w:t>
      </w:r>
    </w:p>
    <w:p w14:paraId="4331F6C4" w14:textId="6CB02ED5" w:rsidR="00975870" w:rsidRPr="008B5D01" w:rsidRDefault="00FE69F2" w:rsidP="008B5D01">
      <w:pPr>
        <w:spacing w:after="120" w:line="276" w:lineRule="auto"/>
        <w:ind w:firstLine="720"/>
        <w:jc w:val="both"/>
        <w:outlineLvl w:val="2"/>
        <w:rPr>
          <w:rFonts w:ascii="Arial" w:eastAsia="Times New Roman" w:hAnsi="Arial" w:cs="Arial"/>
          <w:lang w:eastAsia="en-IN"/>
        </w:rPr>
      </w:pPr>
      <w:r w:rsidRPr="008B5D01">
        <w:rPr>
          <w:rFonts w:ascii="Arial" w:eastAsia="Times New Roman" w:hAnsi="Arial" w:cs="Arial"/>
          <w:lang w:eastAsia="en-IN"/>
        </w:rPr>
        <w:t>The last mile of data quality and timely availability are the main problems in the sector.  A lot of MSMEs have trouble getting their paperwork ready on time, which means they miss invoices, can't match up purchase data, and have unclear bank entries.  When you reconcile books, bank statements, and GST 2B, you often have to do manual classification, handle exceptions, and interpret edge cases, all of which are easy to mess up when you're under pressure.  Frequent changes to policies and the portal make it harder to do work again.  When businesses use spreadsheets, accounting software, and government portals all at once without a single workflow, tool fragmentation continues.  Thin margins make it hard to invest in automation and training.  Finally, communication problems between professionals and clients can make it harder to resolve complicated issues like advances, adjustments, or disclosures related to directors. This can turn small ambiguities into delays in filing.</w:t>
      </w:r>
    </w:p>
    <w:p w14:paraId="6ED48CD9" w14:textId="77777777" w:rsidR="00B40D8D" w:rsidRPr="008B5D01" w:rsidRDefault="00B40D8D" w:rsidP="008B5D01">
      <w:pPr>
        <w:spacing w:after="120" w:line="276" w:lineRule="auto"/>
        <w:outlineLvl w:val="2"/>
        <w:rPr>
          <w:rFonts w:ascii="Arial" w:eastAsia="Times New Roman" w:hAnsi="Arial" w:cs="Arial"/>
          <w:b/>
          <w:bCs/>
          <w:lang w:eastAsia="en-IN"/>
        </w:rPr>
      </w:pPr>
      <w:r w:rsidRPr="008B5D01">
        <w:rPr>
          <w:rFonts w:ascii="Arial" w:eastAsia="Times New Roman" w:hAnsi="Arial" w:cs="Arial"/>
          <w:b/>
          <w:bCs/>
          <w:lang w:eastAsia="en-IN"/>
        </w:rPr>
        <w:t xml:space="preserve">About </w:t>
      </w:r>
      <w:r w:rsidR="00975870" w:rsidRPr="008B5D01">
        <w:rPr>
          <w:rFonts w:ascii="Arial" w:eastAsia="Times New Roman" w:hAnsi="Arial" w:cs="Arial"/>
          <w:b/>
          <w:bCs/>
          <w:lang w:eastAsia="en-IN"/>
        </w:rPr>
        <w:t>InstaFiling</w:t>
      </w:r>
    </w:p>
    <w:p w14:paraId="57E0EB0E" w14:textId="01D695EF" w:rsidR="00975870" w:rsidRPr="008B5D01" w:rsidRDefault="00FE69F2"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 xml:space="preserve">InstaFiling wants to be a helpful and open partner for early-stage startups and small and medium-sized businesses (MSMEs) that are growing.  The service mix includes filing GST and income tax returns, TDS and TCS, financial </w:t>
      </w:r>
      <w:r w:rsidRPr="008B5D01">
        <w:rPr>
          <w:rFonts w:ascii="Arial" w:eastAsia="Times New Roman" w:hAnsi="Arial" w:cs="Arial"/>
          <w:lang w:eastAsia="en-IN"/>
        </w:rPr>
        <w:lastRenderedPageBreak/>
        <w:t>statements, and targeted advice.  Operations depend on Tally-based bookkeeping, portal workflows, and shared trackers.  The team stresses the importance of quick turnaround, clear updates, and a problem-solving attitude.  Growth has come from referrals and keeping clients, thanks to predictable pricing and a willingness to help clients make the switch to digital.  The company keeps track of filings per month, on-time rates, rework hours, client response times, and common error categories.  The culture values learning, so they have started short clinics on Excel, reconciliation techniques, and how to use the portal to raise everyone's skills and lower the amount of variation.</w:t>
      </w:r>
    </w:p>
    <w:p w14:paraId="238DA242" w14:textId="77777777" w:rsidR="00B40D8D" w:rsidRPr="008B5D01" w:rsidRDefault="00B40D8D" w:rsidP="008B5D01">
      <w:pPr>
        <w:spacing w:after="120" w:line="276" w:lineRule="auto"/>
        <w:outlineLvl w:val="2"/>
        <w:rPr>
          <w:rFonts w:ascii="Arial" w:eastAsia="Times New Roman" w:hAnsi="Arial" w:cs="Arial"/>
          <w:b/>
          <w:bCs/>
          <w:lang w:eastAsia="en-IN"/>
        </w:rPr>
      </w:pPr>
      <w:r w:rsidRPr="008B5D01">
        <w:rPr>
          <w:rFonts w:ascii="Arial" w:eastAsia="Times New Roman" w:hAnsi="Arial" w:cs="Arial"/>
          <w:b/>
          <w:bCs/>
          <w:lang w:eastAsia="en-IN"/>
        </w:rPr>
        <w:t xml:space="preserve">Problems faced by </w:t>
      </w:r>
      <w:r w:rsidR="001E3808" w:rsidRPr="008B5D01">
        <w:rPr>
          <w:rFonts w:ascii="Arial" w:eastAsia="Times New Roman" w:hAnsi="Arial" w:cs="Arial"/>
          <w:b/>
          <w:bCs/>
          <w:lang w:eastAsia="en-IN"/>
        </w:rPr>
        <w:t>InstaFiling</w:t>
      </w:r>
    </w:p>
    <w:p w14:paraId="2637B90E" w14:textId="403C72AB" w:rsidR="006628F0" w:rsidRPr="008B5D01" w:rsidRDefault="00FE69F2"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Three things are most important during peak months.  First, client data often comes in late or incomplete, which shortens the processing time and requires multiple follow-ups.  Second, tasks like classifying banks and matching GST 2B take too much time for analysts and lead to mistakes that could have been avoided if they were done quickly.  Third, when there are gaps in communication about edge cases, it takes longer to make decisions, especially when the paperwork is unclear or when clients don't know how to handle accounting issues.  Capacity planning is hard because submission patterns are hard to predict, and thin engagement margins make it hard to spend money on tools and training.  These realities manifest as increased rework hours, diminished first-pass accuracy, and punctuality rates that are acutely influenced by client responsiveness and analyst workload.</w:t>
      </w:r>
    </w:p>
    <w:p w14:paraId="42C31664" w14:textId="77777777" w:rsidR="00B40D8D" w:rsidRPr="008B5D01" w:rsidRDefault="00B40D8D" w:rsidP="008B5D01">
      <w:pPr>
        <w:spacing w:after="120" w:line="276" w:lineRule="auto"/>
        <w:outlineLvl w:val="2"/>
        <w:rPr>
          <w:rFonts w:ascii="Arial" w:eastAsia="Times New Roman" w:hAnsi="Arial" w:cs="Arial"/>
          <w:b/>
          <w:bCs/>
          <w:lang w:eastAsia="en-IN"/>
        </w:rPr>
      </w:pPr>
      <w:r w:rsidRPr="008B5D01">
        <w:rPr>
          <w:rFonts w:ascii="Arial" w:eastAsia="Times New Roman" w:hAnsi="Arial" w:cs="Arial"/>
          <w:b/>
          <w:bCs/>
          <w:lang w:eastAsia="en-IN"/>
        </w:rPr>
        <w:t>Key strategies</w:t>
      </w:r>
    </w:p>
    <w:p w14:paraId="5029161C" w14:textId="77777777" w:rsidR="00FE69F2" w:rsidRPr="008B5D01" w:rsidRDefault="00FE69F2" w:rsidP="008B5D01">
      <w:pPr>
        <w:spacing w:after="120" w:line="276" w:lineRule="auto"/>
        <w:ind w:firstLine="720"/>
        <w:jc w:val="both"/>
        <w:outlineLvl w:val="1"/>
        <w:rPr>
          <w:rFonts w:ascii="Arial" w:eastAsia="Times New Roman" w:hAnsi="Arial" w:cs="Arial"/>
          <w:lang w:eastAsia="en-IN"/>
        </w:rPr>
      </w:pPr>
      <w:r w:rsidRPr="008B5D01">
        <w:rPr>
          <w:rFonts w:ascii="Arial" w:eastAsia="Times New Roman" w:hAnsi="Arial" w:cs="Arial"/>
          <w:lang w:eastAsia="en-IN"/>
        </w:rPr>
        <w:t xml:space="preserve">A practical strategy portfolio deals with sources of variability and error where they start.  Use a short checklist to standardize intake, and don't start </w:t>
      </w:r>
      <w:r w:rsidRPr="008B5D01">
        <w:rPr>
          <w:rFonts w:ascii="Arial" w:eastAsia="Times New Roman" w:hAnsi="Arial" w:cs="Arial"/>
          <w:lang w:eastAsia="en-IN"/>
        </w:rPr>
        <w:t>processing until all the required fields and documents are there. Automated reminders before the deadline will help with this.  Add a simple triage system that sends clean, complete cases to a fast lane and incomplete cases to a coached lane.  Pilot AI helped with reconciliation by sorting bank lines and flagging 2B mismatches, but there was always human verification and a quality audit based on a sample.  Early document locks, staggered cadences that match client clusters, and clear internal cut-offs to protect review time all help keep the workload smooth.  Every month, hold micro-clinics to teach the team three ways to classify a bank, two ways to reconcile a 2B, and templates for talking about common edge cases.  Use a Client Compliance Reliability Score that takes into account data completeness, responsiveness, and historical error rate to group clients. Then, make sure SLAs and onboarding match the score and provide guided portal support when needed.  Use a small scorecard to keep track of the on-time rate, first-pass accuracy, rework hours per client, and missingness rate. Review it every week and learn from the past.</w:t>
      </w:r>
    </w:p>
    <w:p w14:paraId="73FF148A" w14:textId="27890F9F" w:rsidR="00B40D8D" w:rsidRPr="008B5D01" w:rsidRDefault="00B40D8D" w:rsidP="008B5D01">
      <w:pPr>
        <w:spacing w:after="120" w:line="276" w:lineRule="auto"/>
        <w:outlineLvl w:val="1"/>
        <w:rPr>
          <w:rFonts w:ascii="Arial" w:eastAsia="Times New Roman" w:hAnsi="Arial" w:cs="Arial"/>
          <w:b/>
          <w:bCs/>
          <w:lang w:eastAsia="en-IN"/>
        </w:rPr>
      </w:pPr>
      <w:r w:rsidRPr="008B5D01">
        <w:rPr>
          <w:rFonts w:ascii="Arial" w:eastAsia="Times New Roman" w:hAnsi="Arial" w:cs="Arial"/>
          <w:b/>
          <w:bCs/>
          <w:lang w:eastAsia="en-IN"/>
        </w:rPr>
        <w:t>Innovation</w:t>
      </w:r>
    </w:p>
    <w:p w14:paraId="143B988C" w14:textId="77777777" w:rsidR="00FE69F2" w:rsidRPr="008B5D01" w:rsidRDefault="00FE69F2" w:rsidP="008B5D01">
      <w:pPr>
        <w:spacing w:after="120" w:line="276" w:lineRule="auto"/>
        <w:ind w:firstLine="720"/>
        <w:jc w:val="both"/>
        <w:outlineLvl w:val="1"/>
        <w:rPr>
          <w:rFonts w:ascii="Arial" w:eastAsia="Times New Roman" w:hAnsi="Arial" w:cs="Arial"/>
          <w:lang w:eastAsia="en-IN"/>
        </w:rPr>
      </w:pPr>
      <w:r w:rsidRPr="008B5D01">
        <w:rPr>
          <w:rFonts w:ascii="Arial" w:eastAsia="Times New Roman" w:hAnsi="Arial" w:cs="Arial"/>
          <w:lang w:eastAsia="en-IN"/>
        </w:rPr>
        <w:t xml:space="preserve">Three teachable devices have new ideas and ways to learn built into them.  The Client Compliance Reliability Score is a clear way to set priorities, customize SLAs, and explain coaching or pricing without making clients feel bad.  The Missingness Funnel turns data gaps into a measurable pipeline, showing how small improvements in completeness lead to less rework and more on-time filing.  Queueing-aware filing cadence uses simple capacity and variability thinking to put review buffers where they will help the most, keeping steps that require a lot of judgment from being rushed.  All of these ideas push students to see process design, analytics, and change management as parts of a </w:t>
      </w:r>
      <w:r w:rsidRPr="008B5D01">
        <w:rPr>
          <w:rFonts w:ascii="Arial" w:eastAsia="Times New Roman" w:hAnsi="Arial" w:cs="Arial"/>
          <w:lang w:eastAsia="en-IN"/>
        </w:rPr>
        <w:lastRenderedPageBreak/>
        <w:t>whole instead of as separate tools that can fix problems.</w:t>
      </w:r>
    </w:p>
    <w:p w14:paraId="43D365FE" w14:textId="4D57ED61" w:rsidR="00B40D8D" w:rsidRPr="008B5D01" w:rsidRDefault="00B40D8D" w:rsidP="008B5D01">
      <w:pPr>
        <w:spacing w:after="120" w:line="276" w:lineRule="auto"/>
        <w:jc w:val="center"/>
        <w:outlineLvl w:val="1"/>
        <w:rPr>
          <w:rFonts w:ascii="Arial" w:eastAsia="Times New Roman" w:hAnsi="Arial" w:cs="Arial"/>
          <w:b/>
          <w:bCs/>
          <w:caps/>
          <w:lang w:eastAsia="en-IN"/>
        </w:rPr>
      </w:pPr>
      <w:r w:rsidRPr="008B5D01">
        <w:rPr>
          <w:rFonts w:ascii="Arial" w:eastAsia="Times New Roman" w:hAnsi="Arial" w:cs="Arial"/>
          <w:b/>
          <w:bCs/>
          <w:caps/>
          <w:lang w:eastAsia="en-IN"/>
        </w:rPr>
        <w:t>Conclusion</w:t>
      </w:r>
    </w:p>
    <w:p w14:paraId="09119D7D" w14:textId="77777777" w:rsidR="00FE69F2" w:rsidRPr="008B5D01" w:rsidRDefault="00FE69F2" w:rsidP="008B5D01">
      <w:pPr>
        <w:spacing w:after="120" w:line="276" w:lineRule="auto"/>
        <w:ind w:firstLine="720"/>
        <w:jc w:val="both"/>
        <w:outlineLvl w:val="1"/>
        <w:rPr>
          <w:rFonts w:ascii="Arial" w:eastAsia="Times New Roman" w:hAnsi="Arial" w:cs="Arial"/>
          <w:lang w:eastAsia="en-IN"/>
        </w:rPr>
      </w:pPr>
      <w:r w:rsidRPr="008B5D01">
        <w:rPr>
          <w:rFonts w:ascii="Arial" w:eastAsia="Times New Roman" w:hAnsi="Arial" w:cs="Arial"/>
          <w:lang w:eastAsia="en-IN"/>
        </w:rPr>
        <w:t>Discipline at the source, machine help with human oversight, and planned work pacing are all parts of the path to lasting improvement.  InstaFiling can improve first-pass accuracy, shorten turnaround time, and increase on-time filings while keeping costs in check by standardizing intake, piloting assisted reconciliation, smoothing load, and allowing clients to choose based on measured reliability.  A 90-day pilot with clear goals and a scorecard builds momentum and proof for a wider rollout.  Continued coaching, open communication, and regular after-action reviews that turn every deadline cycle into a learning loop are all important for lasting change.</w:t>
      </w:r>
    </w:p>
    <w:p w14:paraId="3708AE08" w14:textId="4C30D96A" w:rsidR="00B40D8D" w:rsidRPr="008B5D01" w:rsidRDefault="00B40D8D" w:rsidP="008B5D01">
      <w:pPr>
        <w:spacing w:after="120" w:line="276" w:lineRule="auto"/>
        <w:jc w:val="center"/>
        <w:outlineLvl w:val="1"/>
        <w:rPr>
          <w:rFonts w:ascii="Arial" w:eastAsia="Times New Roman" w:hAnsi="Arial" w:cs="Arial"/>
          <w:b/>
          <w:bCs/>
          <w:caps/>
          <w:lang w:eastAsia="en-IN"/>
        </w:rPr>
      </w:pPr>
      <w:r w:rsidRPr="008B5D01">
        <w:rPr>
          <w:rFonts w:ascii="Arial" w:eastAsia="Times New Roman" w:hAnsi="Arial" w:cs="Arial"/>
          <w:b/>
          <w:bCs/>
          <w:caps/>
          <w:lang w:eastAsia="en-IN"/>
        </w:rPr>
        <w:t>Case questions</w:t>
      </w:r>
    </w:p>
    <w:p w14:paraId="6309273F" w14:textId="12C99696" w:rsidR="00B40D8D" w:rsidRPr="008B5D01" w:rsidRDefault="00B40D8D" w:rsidP="008B5D01">
      <w:pPr>
        <w:pStyle w:val="ListParagraph"/>
        <w:numPr>
          <w:ilvl w:val="0"/>
          <w:numId w:val="11"/>
        </w:numPr>
        <w:spacing w:after="120" w:line="276" w:lineRule="auto"/>
        <w:ind w:left="540"/>
        <w:jc w:val="both"/>
        <w:rPr>
          <w:rFonts w:ascii="Arial" w:eastAsia="Times New Roman" w:hAnsi="Arial" w:cs="Arial"/>
          <w:lang w:eastAsia="en-IN"/>
        </w:rPr>
      </w:pPr>
      <w:r w:rsidRPr="008B5D01">
        <w:rPr>
          <w:rFonts w:ascii="Arial" w:eastAsia="Times New Roman" w:hAnsi="Arial" w:cs="Arial"/>
          <w:lang w:eastAsia="en-IN"/>
        </w:rPr>
        <w:t xml:space="preserve">Where does the current process lose the most time and </w:t>
      </w:r>
      <w:r w:rsidR="00FE69F2" w:rsidRPr="008B5D01">
        <w:rPr>
          <w:rFonts w:ascii="Arial" w:eastAsia="Times New Roman" w:hAnsi="Arial" w:cs="Arial"/>
          <w:lang w:eastAsia="en-IN"/>
        </w:rPr>
        <w:t>accuracy?</w:t>
      </w:r>
      <w:r w:rsidRPr="008B5D01">
        <w:rPr>
          <w:rFonts w:ascii="Arial" w:eastAsia="Times New Roman" w:hAnsi="Arial" w:cs="Arial"/>
          <w:lang w:eastAsia="en-IN"/>
        </w:rPr>
        <w:t xml:space="preserve"> and how would you prove it with the data pack</w:t>
      </w:r>
      <w:r w:rsidR="00FE69F2" w:rsidRPr="008B5D01">
        <w:rPr>
          <w:rFonts w:ascii="Arial" w:eastAsia="Times New Roman" w:hAnsi="Arial" w:cs="Arial"/>
          <w:lang w:eastAsia="en-IN"/>
        </w:rPr>
        <w:t>?</w:t>
      </w:r>
    </w:p>
    <w:p w14:paraId="71337A85" w14:textId="77777777" w:rsidR="00B40D8D" w:rsidRPr="008B5D01" w:rsidRDefault="00B40D8D" w:rsidP="008B5D01">
      <w:pPr>
        <w:pStyle w:val="ListParagraph"/>
        <w:numPr>
          <w:ilvl w:val="0"/>
          <w:numId w:val="11"/>
        </w:numPr>
        <w:spacing w:after="120" w:line="276" w:lineRule="auto"/>
        <w:ind w:left="540"/>
        <w:jc w:val="both"/>
        <w:rPr>
          <w:rFonts w:ascii="Arial" w:eastAsia="Times New Roman" w:hAnsi="Arial" w:cs="Arial"/>
          <w:lang w:eastAsia="en-IN"/>
        </w:rPr>
      </w:pPr>
      <w:r w:rsidRPr="008B5D01">
        <w:rPr>
          <w:rFonts w:ascii="Arial" w:eastAsia="Times New Roman" w:hAnsi="Arial" w:cs="Arial"/>
          <w:lang w:eastAsia="en-IN"/>
        </w:rPr>
        <w:t>What is the minimum viable intake gate that meaningfully reduces missingness without creating client friction?</w:t>
      </w:r>
    </w:p>
    <w:p w14:paraId="5EF029F7" w14:textId="77777777" w:rsidR="00B40D8D" w:rsidRPr="008B5D01" w:rsidRDefault="00B40D8D" w:rsidP="008B5D01">
      <w:pPr>
        <w:pStyle w:val="ListParagraph"/>
        <w:numPr>
          <w:ilvl w:val="0"/>
          <w:numId w:val="11"/>
        </w:numPr>
        <w:spacing w:after="120" w:line="276" w:lineRule="auto"/>
        <w:ind w:left="540"/>
        <w:jc w:val="both"/>
        <w:rPr>
          <w:rFonts w:ascii="Arial" w:eastAsia="Times New Roman" w:hAnsi="Arial" w:cs="Arial"/>
          <w:lang w:eastAsia="en-IN"/>
        </w:rPr>
      </w:pPr>
      <w:r w:rsidRPr="008B5D01">
        <w:rPr>
          <w:rFonts w:ascii="Arial" w:eastAsia="Times New Roman" w:hAnsi="Arial" w:cs="Arial"/>
          <w:lang w:eastAsia="en-IN"/>
        </w:rPr>
        <w:t>How would you quantify the benefit of AI assisted reconciliation and set up human in the loop checks to manage risk?</w:t>
      </w:r>
    </w:p>
    <w:p w14:paraId="3E86C711" w14:textId="5AA2B901" w:rsidR="00B40D8D" w:rsidRPr="008B5D01" w:rsidRDefault="00B40D8D" w:rsidP="008B5D01">
      <w:pPr>
        <w:pStyle w:val="ListParagraph"/>
        <w:numPr>
          <w:ilvl w:val="0"/>
          <w:numId w:val="11"/>
        </w:numPr>
        <w:spacing w:after="120" w:line="276" w:lineRule="auto"/>
        <w:ind w:left="540"/>
        <w:jc w:val="both"/>
        <w:rPr>
          <w:rFonts w:ascii="Arial" w:eastAsia="Times New Roman" w:hAnsi="Arial" w:cs="Arial"/>
          <w:lang w:eastAsia="en-IN"/>
        </w:rPr>
      </w:pPr>
      <w:r w:rsidRPr="008B5D01">
        <w:rPr>
          <w:rFonts w:ascii="Arial" w:eastAsia="Times New Roman" w:hAnsi="Arial" w:cs="Arial"/>
          <w:lang w:eastAsia="en-IN"/>
        </w:rPr>
        <w:t>How should the Client Compliance Reliability Score be computed and used to align SLAs, on boarding, and pricing</w:t>
      </w:r>
      <w:r w:rsidR="00FE69F2" w:rsidRPr="008B5D01">
        <w:rPr>
          <w:rFonts w:ascii="Arial" w:eastAsia="Times New Roman" w:hAnsi="Arial" w:cs="Arial"/>
          <w:lang w:eastAsia="en-IN"/>
        </w:rPr>
        <w:t>?</w:t>
      </w:r>
    </w:p>
    <w:p w14:paraId="538FA4F3" w14:textId="3267A392" w:rsidR="00B40D8D" w:rsidRPr="008B5D01" w:rsidRDefault="00B40D8D" w:rsidP="008B5D01">
      <w:pPr>
        <w:pStyle w:val="ListParagraph"/>
        <w:numPr>
          <w:ilvl w:val="0"/>
          <w:numId w:val="11"/>
        </w:numPr>
        <w:spacing w:after="120" w:line="276" w:lineRule="auto"/>
        <w:ind w:left="540"/>
        <w:jc w:val="both"/>
        <w:rPr>
          <w:rFonts w:ascii="Arial" w:eastAsia="Times New Roman" w:hAnsi="Arial" w:cs="Arial"/>
          <w:lang w:eastAsia="en-IN"/>
        </w:rPr>
      </w:pPr>
      <w:r w:rsidRPr="008B5D01">
        <w:rPr>
          <w:rFonts w:ascii="Arial" w:eastAsia="Times New Roman" w:hAnsi="Arial" w:cs="Arial"/>
          <w:lang w:eastAsia="en-IN"/>
        </w:rPr>
        <w:t>Which sequencing of initiatives would you attempt in ninety days</w:t>
      </w:r>
      <w:r w:rsidR="00FE69F2" w:rsidRPr="008B5D01">
        <w:rPr>
          <w:rFonts w:ascii="Arial" w:eastAsia="Times New Roman" w:hAnsi="Arial" w:cs="Arial"/>
          <w:lang w:eastAsia="en-IN"/>
        </w:rPr>
        <w:t>?</w:t>
      </w:r>
      <w:r w:rsidRPr="008B5D01">
        <w:rPr>
          <w:rFonts w:ascii="Arial" w:eastAsia="Times New Roman" w:hAnsi="Arial" w:cs="Arial"/>
          <w:lang w:eastAsia="en-IN"/>
        </w:rPr>
        <w:t xml:space="preserve"> and which risks could derail adoption</w:t>
      </w:r>
      <w:r w:rsidR="00FE69F2" w:rsidRPr="008B5D01">
        <w:rPr>
          <w:rFonts w:ascii="Arial" w:eastAsia="Times New Roman" w:hAnsi="Arial" w:cs="Arial"/>
          <w:lang w:eastAsia="en-IN"/>
        </w:rPr>
        <w:t>?</w:t>
      </w:r>
    </w:p>
    <w:p w14:paraId="48B7ECF2" w14:textId="4CFADABA" w:rsidR="00B40D8D" w:rsidRPr="008B5D01" w:rsidRDefault="00B40D8D" w:rsidP="008B5D01">
      <w:pPr>
        <w:pStyle w:val="ListParagraph"/>
        <w:numPr>
          <w:ilvl w:val="0"/>
          <w:numId w:val="11"/>
        </w:numPr>
        <w:spacing w:after="120" w:line="276" w:lineRule="auto"/>
        <w:ind w:left="540"/>
        <w:jc w:val="both"/>
        <w:rPr>
          <w:rFonts w:ascii="Arial" w:eastAsia="Times New Roman" w:hAnsi="Arial" w:cs="Arial"/>
          <w:lang w:eastAsia="en-IN"/>
        </w:rPr>
      </w:pPr>
      <w:r w:rsidRPr="008B5D01">
        <w:rPr>
          <w:rFonts w:ascii="Arial" w:eastAsia="Times New Roman" w:hAnsi="Arial" w:cs="Arial"/>
          <w:lang w:eastAsia="en-IN"/>
        </w:rPr>
        <w:t>What communication templates would you deploy to handle the most frequent edge cases</w:t>
      </w:r>
      <w:r w:rsidR="00FE69F2" w:rsidRPr="008B5D01">
        <w:rPr>
          <w:rFonts w:ascii="Arial" w:eastAsia="Times New Roman" w:hAnsi="Arial" w:cs="Arial"/>
          <w:lang w:eastAsia="en-IN"/>
        </w:rPr>
        <w:t>?</w:t>
      </w:r>
    </w:p>
    <w:p w14:paraId="40F3D03B" w14:textId="77777777" w:rsidR="008B5D01" w:rsidRDefault="008B5D01" w:rsidP="008B5D01">
      <w:pPr>
        <w:spacing w:after="120" w:line="276" w:lineRule="auto"/>
        <w:outlineLvl w:val="1"/>
        <w:rPr>
          <w:rFonts w:ascii="Arial" w:eastAsia="Times New Roman" w:hAnsi="Arial" w:cs="Arial"/>
          <w:b/>
          <w:bCs/>
          <w:caps/>
          <w:lang w:eastAsia="en-IN"/>
        </w:rPr>
      </w:pPr>
    </w:p>
    <w:p w14:paraId="5776EC0B" w14:textId="77777777" w:rsidR="008B5D01" w:rsidRDefault="008B5D01" w:rsidP="008B5D01">
      <w:pPr>
        <w:spacing w:after="120" w:line="276" w:lineRule="auto"/>
        <w:outlineLvl w:val="1"/>
        <w:rPr>
          <w:rFonts w:ascii="Arial" w:eastAsia="Times New Roman" w:hAnsi="Arial" w:cs="Arial"/>
          <w:b/>
          <w:bCs/>
          <w:caps/>
          <w:lang w:eastAsia="en-IN"/>
        </w:rPr>
      </w:pPr>
    </w:p>
    <w:p w14:paraId="3D946009" w14:textId="64882EC3" w:rsidR="00B40D8D" w:rsidRPr="008B5D01" w:rsidRDefault="006628F0" w:rsidP="008B5D01">
      <w:pPr>
        <w:spacing w:after="120" w:line="276" w:lineRule="auto"/>
        <w:jc w:val="center"/>
        <w:outlineLvl w:val="1"/>
        <w:rPr>
          <w:rFonts w:ascii="Arial" w:eastAsia="Times New Roman" w:hAnsi="Arial" w:cs="Arial"/>
          <w:b/>
          <w:bCs/>
          <w:caps/>
          <w:lang w:eastAsia="en-IN"/>
        </w:rPr>
      </w:pPr>
      <w:r w:rsidRPr="008B5D01">
        <w:rPr>
          <w:rFonts w:ascii="Arial" w:eastAsia="Times New Roman" w:hAnsi="Arial" w:cs="Arial"/>
          <w:b/>
          <w:bCs/>
          <w:caps/>
          <w:lang w:eastAsia="en-IN"/>
        </w:rPr>
        <w:t>T</w:t>
      </w:r>
      <w:r w:rsidR="00B40D8D" w:rsidRPr="008B5D01">
        <w:rPr>
          <w:rFonts w:ascii="Arial" w:eastAsia="Times New Roman" w:hAnsi="Arial" w:cs="Arial"/>
          <w:b/>
          <w:bCs/>
          <w:caps/>
          <w:lang w:eastAsia="en-IN"/>
        </w:rPr>
        <w:t>eaching notes</w:t>
      </w:r>
    </w:p>
    <w:p w14:paraId="153B2216" w14:textId="77777777" w:rsidR="008B5D01" w:rsidRDefault="00B40D8D" w:rsidP="008B5D01">
      <w:pPr>
        <w:spacing w:after="120" w:line="276" w:lineRule="auto"/>
        <w:rPr>
          <w:rFonts w:ascii="Arial" w:eastAsia="Times New Roman" w:hAnsi="Arial" w:cs="Arial"/>
          <w:lang w:eastAsia="en-IN"/>
        </w:rPr>
      </w:pPr>
      <w:r w:rsidRPr="008B5D01">
        <w:rPr>
          <w:rFonts w:ascii="Arial" w:eastAsia="Times New Roman" w:hAnsi="Arial" w:cs="Arial"/>
          <w:b/>
          <w:lang w:eastAsia="en-IN"/>
        </w:rPr>
        <w:t>Programme fit</w:t>
      </w:r>
    </w:p>
    <w:p w14:paraId="0BC9B1C6" w14:textId="6E217966" w:rsidR="00B40D8D" w:rsidRP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MBA Strategy, Operations Management, Service Operations, Business Analytics, Accounting Information Systems, MSME Entrepreneurship, and Executive Education in Digital Transformation</w:t>
      </w:r>
    </w:p>
    <w:p w14:paraId="03A98C14" w14:textId="77777777" w:rsidR="008B5D01" w:rsidRDefault="00B40D8D" w:rsidP="008B5D01">
      <w:pPr>
        <w:spacing w:after="120" w:line="276" w:lineRule="auto"/>
        <w:rPr>
          <w:rFonts w:ascii="Arial" w:eastAsia="Times New Roman" w:hAnsi="Arial" w:cs="Arial"/>
          <w:lang w:eastAsia="en-IN"/>
        </w:rPr>
      </w:pPr>
      <w:r w:rsidRPr="008B5D01">
        <w:rPr>
          <w:rFonts w:ascii="Arial" w:eastAsia="Times New Roman" w:hAnsi="Arial" w:cs="Arial"/>
          <w:b/>
          <w:lang w:eastAsia="en-IN"/>
        </w:rPr>
        <w:t>Objectives</w:t>
      </w:r>
    </w:p>
    <w:p w14:paraId="6100E3C4" w14:textId="77777777" w:rsid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Diagnose bottlenecks under regulatory and deadline pressure</w:t>
      </w:r>
    </w:p>
    <w:p w14:paraId="35E44C23" w14:textId="77777777" w:rsid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Quantify payoffs from standardisation and assisted reconciliation</w:t>
      </w:r>
    </w:p>
    <w:p w14:paraId="577B28C3" w14:textId="77777777" w:rsid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Design a phased plan balancing client value, cost, and adoption risk</w:t>
      </w:r>
    </w:p>
    <w:p w14:paraId="53B5B8C5" w14:textId="2D816136" w:rsidR="00B40D8D" w:rsidRP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Build a defensible scorecard and governance cadence for continuous improvement</w:t>
      </w:r>
    </w:p>
    <w:p w14:paraId="13A7BC7A" w14:textId="77777777" w:rsidR="008B5D01" w:rsidRDefault="00B40D8D" w:rsidP="008B5D01">
      <w:pPr>
        <w:spacing w:after="120" w:line="276" w:lineRule="auto"/>
        <w:rPr>
          <w:rFonts w:ascii="Arial" w:eastAsia="Times New Roman" w:hAnsi="Arial" w:cs="Arial"/>
          <w:lang w:eastAsia="en-IN"/>
        </w:rPr>
      </w:pPr>
      <w:r w:rsidRPr="008B5D01">
        <w:rPr>
          <w:rFonts w:ascii="Arial" w:eastAsia="Times New Roman" w:hAnsi="Arial" w:cs="Arial"/>
          <w:b/>
          <w:lang w:eastAsia="en-IN"/>
        </w:rPr>
        <w:t>Pre class preparation</w:t>
      </w:r>
    </w:p>
    <w:p w14:paraId="7D7E3C7D" w14:textId="2C3BF80C" w:rsidR="00B40D8D" w:rsidRP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Students read the case, compute baseline on time rate, first pass accuracy, rework hours per client, and missingness, sketch a simple process map, and draft a one page memo proposing a ninety day plan</w:t>
      </w:r>
    </w:p>
    <w:p w14:paraId="6EE37DA5" w14:textId="77777777" w:rsidR="00B40D8D" w:rsidRPr="008B5D01" w:rsidRDefault="00B40D8D" w:rsidP="008B5D01">
      <w:pPr>
        <w:spacing w:after="120" w:line="276" w:lineRule="auto"/>
        <w:rPr>
          <w:rFonts w:ascii="Arial" w:eastAsia="Times New Roman" w:hAnsi="Arial" w:cs="Arial"/>
          <w:lang w:eastAsia="en-IN"/>
        </w:rPr>
      </w:pPr>
      <w:r w:rsidRPr="008B5D01">
        <w:rPr>
          <w:rFonts w:ascii="Arial" w:eastAsia="Times New Roman" w:hAnsi="Arial" w:cs="Arial"/>
          <w:b/>
          <w:lang w:eastAsia="en-IN"/>
        </w:rPr>
        <w:t>In class follow the given steps:</w:t>
      </w:r>
    </w:p>
    <w:p w14:paraId="2858150F" w14:textId="77777777" w:rsidR="00B40D8D" w:rsidRPr="008B5D01" w:rsidRDefault="00B40D8D" w:rsidP="008B5D01">
      <w:pPr>
        <w:pStyle w:val="ListParagraph"/>
        <w:numPr>
          <w:ilvl w:val="0"/>
          <w:numId w:val="12"/>
        </w:numPr>
        <w:spacing w:after="120" w:line="276" w:lineRule="auto"/>
        <w:jc w:val="both"/>
        <w:rPr>
          <w:rFonts w:ascii="Arial" w:eastAsia="Times New Roman" w:hAnsi="Arial" w:cs="Arial"/>
          <w:lang w:eastAsia="en-IN"/>
        </w:rPr>
      </w:pPr>
      <w:r w:rsidRPr="008B5D01">
        <w:rPr>
          <w:rFonts w:ascii="Arial" w:eastAsia="Times New Roman" w:hAnsi="Arial" w:cs="Arial"/>
          <w:lang w:eastAsia="en-IN"/>
        </w:rPr>
        <w:t>hook and context recap</w:t>
      </w:r>
    </w:p>
    <w:p w14:paraId="562CAC80" w14:textId="77777777" w:rsidR="00B40D8D" w:rsidRPr="008B5D01" w:rsidRDefault="00B40D8D" w:rsidP="008B5D01">
      <w:pPr>
        <w:pStyle w:val="ListParagraph"/>
        <w:numPr>
          <w:ilvl w:val="0"/>
          <w:numId w:val="12"/>
        </w:numPr>
        <w:spacing w:after="120" w:line="276" w:lineRule="auto"/>
        <w:jc w:val="both"/>
        <w:rPr>
          <w:rFonts w:ascii="Arial" w:eastAsia="Times New Roman" w:hAnsi="Arial" w:cs="Arial"/>
          <w:lang w:eastAsia="en-IN"/>
        </w:rPr>
      </w:pPr>
      <w:r w:rsidRPr="008B5D01">
        <w:rPr>
          <w:rFonts w:ascii="Arial" w:eastAsia="Times New Roman" w:hAnsi="Arial" w:cs="Arial"/>
          <w:lang w:eastAsia="en-IN"/>
        </w:rPr>
        <w:t>data orientation and baselining</w:t>
      </w:r>
    </w:p>
    <w:p w14:paraId="0AE2925B" w14:textId="77777777" w:rsidR="00B40D8D" w:rsidRPr="008B5D01" w:rsidRDefault="00B40D8D" w:rsidP="008B5D01">
      <w:pPr>
        <w:pStyle w:val="ListParagraph"/>
        <w:numPr>
          <w:ilvl w:val="0"/>
          <w:numId w:val="12"/>
        </w:numPr>
        <w:spacing w:after="120" w:line="276" w:lineRule="auto"/>
        <w:jc w:val="both"/>
        <w:rPr>
          <w:rFonts w:ascii="Arial" w:eastAsia="Times New Roman" w:hAnsi="Arial" w:cs="Arial"/>
          <w:lang w:eastAsia="en-IN"/>
        </w:rPr>
      </w:pPr>
      <w:r w:rsidRPr="008B5D01">
        <w:rPr>
          <w:rFonts w:ascii="Arial" w:eastAsia="Times New Roman" w:hAnsi="Arial" w:cs="Arial"/>
          <w:lang w:eastAsia="en-IN"/>
        </w:rPr>
        <w:t xml:space="preserve">team work on option </w:t>
      </w:r>
      <w:r w:rsidR="00B4115B" w:rsidRPr="008B5D01">
        <w:rPr>
          <w:rFonts w:ascii="Arial" w:eastAsia="Times New Roman" w:hAnsi="Arial" w:cs="Arial"/>
          <w:lang w:eastAsia="en-IN"/>
        </w:rPr>
        <w:t>trade-offs</w:t>
      </w:r>
      <w:r w:rsidRPr="008B5D01">
        <w:rPr>
          <w:rFonts w:ascii="Arial" w:eastAsia="Times New Roman" w:hAnsi="Arial" w:cs="Arial"/>
          <w:lang w:eastAsia="en-IN"/>
        </w:rPr>
        <w:t xml:space="preserve"> with quick numbers</w:t>
      </w:r>
    </w:p>
    <w:p w14:paraId="31155718" w14:textId="77777777" w:rsidR="00B40D8D" w:rsidRPr="008B5D01" w:rsidRDefault="00B40D8D" w:rsidP="008B5D01">
      <w:pPr>
        <w:pStyle w:val="ListParagraph"/>
        <w:numPr>
          <w:ilvl w:val="0"/>
          <w:numId w:val="12"/>
        </w:numPr>
        <w:spacing w:after="120" w:line="276" w:lineRule="auto"/>
        <w:jc w:val="both"/>
        <w:rPr>
          <w:rFonts w:ascii="Arial" w:eastAsia="Times New Roman" w:hAnsi="Arial" w:cs="Arial"/>
          <w:lang w:eastAsia="en-IN"/>
        </w:rPr>
      </w:pPr>
      <w:r w:rsidRPr="008B5D01">
        <w:rPr>
          <w:rFonts w:ascii="Arial" w:eastAsia="Times New Roman" w:hAnsi="Arial" w:cs="Arial"/>
          <w:lang w:eastAsia="en-IN"/>
        </w:rPr>
        <w:t>plenary debate on sequencing, risks, and safeguards</w:t>
      </w:r>
    </w:p>
    <w:p w14:paraId="1ABB09BD" w14:textId="77777777" w:rsidR="00B40D8D" w:rsidRPr="008B5D01" w:rsidRDefault="00B40D8D" w:rsidP="008B5D01">
      <w:pPr>
        <w:pStyle w:val="ListParagraph"/>
        <w:numPr>
          <w:ilvl w:val="0"/>
          <w:numId w:val="12"/>
        </w:numPr>
        <w:spacing w:after="120" w:line="276" w:lineRule="auto"/>
        <w:jc w:val="both"/>
        <w:rPr>
          <w:rFonts w:ascii="Arial" w:eastAsia="Times New Roman" w:hAnsi="Arial" w:cs="Arial"/>
          <w:lang w:eastAsia="en-IN"/>
        </w:rPr>
      </w:pPr>
      <w:r w:rsidRPr="008B5D01">
        <w:rPr>
          <w:rFonts w:ascii="Arial" w:eastAsia="Times New Roman" w:hAnsi="Arial" w:cs="Arial"/>
          <w:lang w:eastAsia="en-IN"/>
        </w:rPr>
        <w:t>instructor debrief and synthesis into a hybrid plan</w:t>
      </w:r>
    </w:p>
    <w:p w14:paraId="14715F38" w14:textId="77777777" w:rsidR="00B40D8D" w:rsidRPr="008B5D01" w:rsidRDefault="00B40D8D" w:rsidP="008B5D01">
      <w:pPr>
        <w:pStyle w:val="ListParagraph"/>
        <w:numPr>
          <w:ilvl w:val="0"/>
          <w:numId w:val="12"/>
        </w:numPr>
        <w:spacing w:after="120" w:line="276" w:lineRule="auto"/>
        <w:jc w:val="both"/>
        <w:rPr>
          <w:rFonts w:ascii="Arial" w:eastAsia="Times New Roman" w:hAnsi="Arial" w:cs="Arial"/>
          <w:lang w:eastAsia="en-IN"/>
        </w:rPr>
      </w:pPr>
      <w:r w:rsidRPr="008B5D01">
        <w:rPr>
          <w:rFonts w:ascii="Arial" w:eastAsia="Times New Roman" w:hAnsi="Arial" w:cs="Arial"/>
          <w:lang w:eastAsia="en-IN"/>
        </w:rPr>
        <w:t>takeaways and assignment briefing</w:t>
      </w:r>
    </w:p>
    <w:p w14:paraId="22F5573B" w14:textId="77777777" w:rsidR="008B5D01" w:rsidRDefault="00B40D8D" w:rsidP="008B5D01">
      <w:pPr>
        <w:spacing w:after="120" w:line="276" w:lineRule="auto"/>
        <w:rPr>
          <w:rFonts w:ascii="Arial" w:eastAsia="Times New Roman" w:hAnsi="Arial" w:cs="Arial"/>
          <w:lang w:eastAsia="en-IN"/>
        </w:rPr>
      </w:pPr>
      <w:r w:rsidRPr="008B5D01">
        <w:rPr>
          <w:rFonts w:ascii="Arial" w:eastAsia="Times New Roman" w:hAnsi="Arial" w:cs="Arial"/>
          <w:b/>
          <w:lang w:eastAsia="en-IN"/>
        </w:rPr>
        <w:t>Analysis path</w:t>
      </w:r>
    </w:p>
    <w:p w14:paraId="578CD128" w14:textId="77777777" w:rsidR="008B5D01" w:rsidRDefault="00B40D8D" w:rsidP="008B5D01">
      <w:pPr>
        <w:spacing w:after="120" w:line="276" w:lineRule="auto"/>
        <w:ind w:firstLine="720"/>
        <w:rPr>
          <w:rFonts w:ascii="Arial" w:eastAsia="Times New Roman" w:hAnsi="Arial" w:cs="Arial"/>
          <w:lang w:eastAsia="en-IN"/>
        </w:rPr>
      </w:pPr>
      <w:r w:rsidRPr="008B5D01">
        <w:rPr>
          <w:rFonts w:ascii="Arial" w:eastAsia="Times New Roman" w:hAnsi="Arial" w:cs="Arial"/>
          <w:lang w:eastAsia="en-IN"/>
        </w:rPr>
        <w:t>Map current workflow and locate queues and rework loops</w:t>
      </w:r>
    </w:p>
    <w:p w14:paraId="7BB9BB26" w14:textId="77777777" w:rsidR="008B5D01" w:rsidRDefault="00B40D8D" w:rsidP="008B5D01">
      <w:pPr>
        <w:spacing w:after="120" w:line="276" w:lineRule="auto"/>
        <w:ind w:firstLine="720"/>
        <w:rPr>
          <w:rFonts w:ascii="Arial" w:eastAsia="Times New Roman" w:hAnsi="Arial" w:cs="Arial"/>
          <w:lang w:eastAsia="en-IN"/>
        </w:rPr>
      </w:pPr>
      <w:r w:rsidRPr="008B5D01">
        <w:rPr>
          <w:rFonts w:ascii="Arial" w:eastAsia="Times New Roman" w:hAnsi="Arial" w:cs="Arial"/>
          <w:lang w:eastAsia="en-IN"/>
        </w:rPr>
        <w:t>Use the Missingness Funnel to quantify upstream fixes</w:t>
      </w:r>
    </w:p>
    <w:p w14:paraId="7270769D" w14:textId="77777777" w:rsid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lastRenderedPageBreak/>
        <w:t>Estimate effect sizes for intake gating and assisted reconciliation</w:t>
      </w:r>
    </w:p>
    <w:p w14:paraId="36A52EF8" w14:textId="77777777" w:rsid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Design the Client Compliance Reliability Score and simulate prioritisation changes</w:t>
      </w:r>
    </w:p>
    <w:p w14:paraId="5C5EACBA" w14:textId="2A37B846" w:rsidR="00B40D8D" w:rsidRPr="008B5D01" w:rsidRDefault="00B40D8D" w:rsidP="008B5D01">
      <w:pPr>
        <w:spacing w:after="120" w:line="276" w:lineRule="auto"/>
        <w:ind w:firstLine="720"/>
        <w:jc w:val="both"/>
        <w:rPr>
          <w:rFonts w:ascii="Arial" w:eastAsia="Times New Roman" w:hAnsi="Arial" w:cs="Arial"/>
          <w:lang w:eastAsia="en-IN"/>
        </w:rPr>
      </w:pPr>
      <w:r w:rsidRPr="008B5D01">
        <w:rPr>
          <w:rFonts w:ascii="Arial" w:eastAsia="Times New Roman" w:hAnsi="Arial" w:cs="Arial"/>
          <w:lang w:eastAsia="en-IN"/>
        </w:rPr>
        <w:t>Construct a scorecard and a weekly review ritual</w:t>
      </w:r>
    </w:p>
    <w:p w14:paraId="0B6770F5"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b/>
          <w:lang w:eastAsia="en-IN"/>
        </w:rPr>
        <w:t>Quant tasks</w:t>
      </w:r>
    </w:p>
    <w:p w14:paraId="7B0F007B" w14:textId="6FBEF26F"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Compute breakeven for assisted reconciliation after licence and training</w:t>
      </w:r>
    </w:p>
    <w:p w14:paraId="4B360DAF"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Run sensitivity checks on adoption rates and on time improvements</w:t>
      </w:r>
    </w:p>
    <w:p w14:paraId="37153D0E" w14:textId="5292222E" w:rsidR="00B40D8D" w:rsidRP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Model how a ten percent reduction in missingness propagates to rework hours and filing punctuality</w:t>
      </w:r>
    </w:p>
    <w:p w14:paraId="1902CF37"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b/>
          <w:lang w:eastAsia="en-IN"/>
        </w:rPr>
        <w:t>Outcome related tasks</w:t>
      </w:r>
    </w:p>
    <w:p w14:paraId="5D3903C8"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Stakeholder mapping across clients, analysts, reviewers, managers</w:t>
      </w:r>
    </w:p>
    <w:p w14:paraId="5C062DDF"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Risk register covering client pushback, model drift, governance</w:t>
      </w:r>
    </w:p>
    <w:p w14:paraId="44D401A0" w14:textId="5BEE3222" w:rsidR="00B40D8D" w:rsidRP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Change plan with micro-clinics, playbooks, champions, and communication</w:t>
      </w:r>
    </w:p>
    <w:p w14:paraId="5A2F0591" w14:textId="77777777" w:rsidR="008B5D01" w:rsidRDefault="00B40D8D" w:rsidP="008B5D01">
      <w:pPr>
        <w:spacing w:after="120" w:line="276" w:lineRule="auto"/>
        <w:jc w:val="both"/>
        <w:rPr>
          <w:rFonts w:ascii="Arial" w:eastAsia="Times New Roman" w:hAnsi="Arial" w:cs="Arial"/>
          <w:b/>
          <w:lang w:eastAsia="en-IN"/>
        </w:rPr>
      </w:pPr>
      <w:r w:rsidRPr="008B5D01">
        <w:rPr>
          <w:rFonts w:ascii="Arial" w:eastAsia="Times New Roman" w:hAnsi="Arial" w:cs="Arial"/>
          <w:b/>
          <w:lang w:eastAsia="en-IN"/>
        </w:rPr>
        <w:t>Discussion guide</w:t>
      </w:r>
    </w:p>
    <w:p w14:paraId="4CD49182"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Start with the single biggest driver of rework</w:t>
      </w:r>
    </w:p>
    <w:p w14:paraId="5BD27B7E"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 xml:space="preserve">Debate fairness and practicality of reliability-based </w:t>
      </w:r>
      <w:r w:rsidR="00B4115B" w:rsidRPr="008B5D01">
        <w:rPr>
          <w:rFonts w:ascii="Arial" w:eastAsia="Times New Roman" w:hAnsi="Arial" w:cs="Arial"/>
          <w:lang w:eastAsia="en-IN"/>
        </w:rPr>
        <w:t>tearing</w:t>
      </w:r>
    </w:p>
    <w:p w14:paraId="144F322A" w14:textId="35CEDBC9" w:rsidR="00B40D8D" w:rsidRP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Close with a minimum viable pilot that can launch in ninety days</w:t>
      </w:r>
    </w:p>
    <w:p w14:paraId="3533EF9F"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b/>
          <w:lang w:eastAsia="en-IN"/>
        </w:rPr>
        <w:t>Assessment rubric</w:t>
      </w:r>
    </w:p>
    <w:p w14:paraId="1EA4E535"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Logic and structure forty</w:t>
      </w:r>
    </w:p>
    <w:p w14:paraId="356941C5" w14:textId="77777777" w:rsid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Evidence and calculations forty</w:t>
      </w:r>
    </w:p>
    <w:p w14:paraId="3D444355" w14:textId="2B60A366" w:rsidR="00B40D8D" w:rsidRPr="008B5D01" w:rsidRDefault="00B40D8D" w:rsidP="008B5D01">
      <w:pPr>
        <w:spacing w:after="120" w:line="276" w:lineRule="auto"/>
        <w:jc w:val="both"/>
        <w:rPr>
          <w:rFonts w:ascii="Arial" w:eastAsia="Times New Roman" w:hAnsi="Arial" w:cs="Arial"/>
          <w:lang w:eastAsia="en-IN"/>
        </w:rPr>
      </w:pPr>
      <w:r w:rsidRPr="008B5D01">
        <w:rPr>
          <w:rFonts w:ascii="Arial" w:eastAsia="Times New Roman" w:hAnsi="Arial" w:cs="Arial"/>
          <w:lang w:eastAsia="en-IN"/>
        </w:rPr>
        <w:t>Clarity and persuasion twenty</w:t>
      </w:r>
    </w:p>
    <w:p w14:paraId="3E542BAB" w14:textId="77777777" w:rsidR="00B40D8D" w:rsidRPr="008B5D01" w:rsidRDefault="00B40D8D" w:rsidP="008B5D01">
      <w:pPr>
        <w:pStyle w:val="Heading1"/>
        <w:spacing w:before="0" w:beforeAutospacing="0" w:after="120" w:afterAutospacing="0" w:line="276" w:lineRule="auto"/>
        <w:rPr>
          <w:rFonts w:ascii="Arial" w:hAnsi="Arial" w:cs="Arial"/>
          <w:sz w:val="22"/>
          <w:szCs w:val="22"/>
        </w:rPr>
      </w:pPr>
      <w:r w:rsidRPr="008B5D01">
        <w:rPr>
          <w:rFonts w:ascii="Arial" w:hAnsi="Arial" w:cs="Arial"/>
          <w:spacing w:val="-2"/>
          <w:sz w:val="22"/>
          <w:szCs w:val="22"/>
        </w:rPr>
        <w:t>References:</w:t>
      </w:r>
    </w:p>
    <w:p w14:paraId="57E7DC2D" w14:textId="6778E506"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Abbas, K., et al. (2025). Management accounting and artificial intelligence: A systematic review. </w:t>
      </w:r>
      <w:r w:rsidRPr="00D51629">
        <w:rPr>
          <w:rFonts w:ascii="Arial" w:hAnsi="Arial" w:cs="Arial"/>
          <w:i/>
          <w:iCs/>
        </w:rPr>
        <w:t xml:space="preserve">International Journal of Accounting </w:t>
      </w:r>
      <w:r w:rsidRPr="00D51629">
        <w:rPr>
          <w:rFonts w:ascii="Arial" w:hAnsi="Arial" w:cs="Arial"/>
          <w:i/>
          <w:iCs/>
        </w:rPr>
        <w:t>Information Systems</w:t>
      </w:r>
      <w:r w:rsidRPr="00D51629">
        <w:rPr>
          <w:rFonts w:ascii="Arial" w:hAnsi="Arial" w:cs="Arial"/>
        </w:rPr>
        <w:t>. (Advance online publication).</w:t>
      </w:r>
    </w:p>
    <w:p w14:paraId="74F682D6"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Buteau, S. (2021). Roadmap for digital technology to foster India’s MSME ecosystem—opportunities and challenges. </w:t>
      </w:r>
      <w:r w:rsidRPr="00D51629">
        <w:rPr>
          <w:rFonts w:ascii="Arial" w:hAnsi="Arial" w:cs="Arial"/>
          <w:i/>
          <w:iCs/>
        </w:rPr>
        <w:t>CSI Transactions on ICT, 9</w:t>
      </w:r>
      <w:r w:rsidRPr="00D51629">
        <w:rPr>
          <w:rFonts w:ascii="Arial" w:hAnsi="Arial" w:cs="Arial"/>
        </w:rPr>
        <w:t>(4), 233–244. https://doi.org/10.1007/s40012-021-00345-4</w:t>
      </w:r>
      <w:r w:rsidR="00B4115B" w:rsidRPr="00D51629">
        <w:rPr>
          <w:rFonts w:ascii="Arial" w:hAnsi="Arial" w:cs="Arial"/>
        </w:rPr>
        <w:t xml:space="preserve"> </w:t>
      </w:r>
    </w:p>
    <w:p w14:paraId="30063970"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De Neve, J.-E., Imbert, C., Spinnewijn, J., Tsankova, T., &amp; Luts, M. (2019). </w:t>
      </w:r>
      <w:r w:rsidRPr="00D51629">
        <w:rPr>
          <w:rFonts w:ascii="Arial" w:hAnsi="Arial" w:cs="Arial"/>
          <w:i/>
          <w:iCs/>
        </w:rPr>
        <w:t>How to Improve Tax Compliance? Evidence from Population-wide Experiments in Belgium</w:t>
      </w:r>
      <w:r w:rsidRPr="00D51629">
        <w:rPr>
          <w:rFonts w:ascii="Arial" w:hAnsi="Arial" w:cs="Arial"/>
        </w:rPr>
        <w:t xml:space="preserve"> (Working paper). J-PAL/University of Oxford. </w:t>
      </w:r>
    </w:p>
    <w:p w14:paraId="79D65487"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Goel, K., Bandara, W., &amp; Gable, G. (2023). Conceptualizing business process standardization: A review and synthesis.</w:t>
      </w:r>
      <w:r w:rsidRPr="00D51629">
        <w:rPr>
          <w:rFonts w:ascii="Arial" w:hAnsi="Arial" w:cs="Arial"/>
          <w:lang w:val="en-GB"/>
        </w:rPr>
        <w:t xml:space="preserve"> </w:t>
      </w:r>
      <w:r w:rsidRPr="00D51629">
        <w:rPr>
          <w:rFonts w:ascii="Arial" w:hAnsi="Arial" w:cs="Arial"/>
          <w:i/>
          <w:iCs/>
          <w:lang w:val="en-GB"/>
        </w:rPr>
        <w:t>Schmalenbach</w:t>
      </w:r>
      <w:r w:rsidRPr="00D51629">
        <w:rPr>
          <w:rFonts w:ascii="Arial" w:hAnsi="Arial" w:cs="Arial"/>
          <w:i/>
          <w:iCs/>
        </w:rPr>
        <w:t xml:space="preserve"> Journal of Business Research, 75</w:t>
      </w:r>
      <w:r w:rsidRPr="00D51629">
        <w:rPr>
          <w:rFonts w:ascii="Arial" w:hAnsi="Arial" w:cs="Arial"/>
        </w:rPr>
        <w:t xml:space="preserve">, 195–237. https://doi.org/10.1007/s41471-023-00158-y </w:t>
      </w:r>
    </w:p>
    <w:p w14:paraId="2E75ACE4"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Green, L. (2011). </w:t>
      </w:r>
      <w:r w:rsidRPr="00D51629">
        <w:rPr>
          <w:rFonts w:ascii="Arial" w:hAnsi="Arial" w:cs="Arial"/>
          <w:i/>
          <w:iCs/>
        </w:rPr>
        <w:t>Queueing theory and modeling</w:t>
      </w:r>
      <w:r w:rsidRPr="00D51629">
        <w:rPr>
          <w:rFonts w:ascii="Arial" w:hAnsi="Arial" w:cs="Arial"/>
        </w:rPr>
        <w:t xml:space="preserve"> (Working paper/teaching note). Columbia Business School. </w:t>
      </w:r>
    </w:p>
    <w:p w14:paraId="73766564" w14:textId="77777777" w:rsidR="001E3808" w:rsidRPr="008B5D01" w:rsidRDefault="001E3808" w:rsidP="00D51629">
      <w:pPr>
        <w:pStyle w:val="NormalWeb"/>
        <w:spacing w:before="0" w:beforeAutospacing="0" w:after="120" w:afterAutospacing="0" w:line="276" w:lineRule="auto"/>
        <w:ind w:left="720" w:hanging="720"/>
        <w:jc w:val="both"/>
        <w:rPr>
          <w:rFonts w:ascii="Arial" w:hAnsi="Arial" w:cs="Arial"/>
          <w:sz w:val="22"/>
          <w:szCs w:val="22"/>
        </w:rPr>
      </w:pPr>
      <w:r w:rsidRPr="008B5D01">
        <w:rPr>
          <w:rFonts w:ascii="Arial" w:hAnsi="Arial" w:cs="Arial"/>
          <w:sz w:val="22"/>
          <w:szCs w:val="22"/>
        </w:rPr>
        <w:t xml:space="preserve">Kotios, D., Makridis, G., Fatouros, G., &amp; Kyriazis, D. (2022). Deep learning enhancing banking services: A hybrid transaction classification and cash flow prediction approach. </w:t>
      </w:r>
      <w:r w:rsidRPr="008B5D01">
        <w:rPr>
          <w:rStyle w:val="Emphasis"/>
          <w:rFonts w:ascii="Arial" w:hAnsi="Arial" w:cs="Arial"/>
          <w:sz w:val="22"/>
          <w:szCs w:val="22"/>
        </w:rPr>
        <w:t>Journal of Big Data, 9</w:t>
      </w:r>
      <w:r w:rsidRPr="008B5D01">
        <w:rPr>
          <w:rFonts w:ascii="Arial" w:hAnsi="Arial" w:cs="Arial"/>
          <w:sz w:val="22"/>
          <w:szCs w:val="22"/>
        </w:rPr>
        <w:t>(100). https://doi.org/10.1186/s40537-022-00651-x</w:t>
      </w:r>
    </w:p>
    <w:p w14:paraId="201CA0DF"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Shukla, R., &amp; Singh Saluja, H. P. (2025). Readiness of MSMEs for post-GST e-invoicing norms. </w:t>
      </w:r>
      <w:r w:rsidRPr="00D51629">
        <w:rPr>
          <w:rFonts w:ascii="Arial" w:hAnsi="Arial" w:cs="Arial"/>
          <w:i/>
          <w:iCs/>
        </w:rPr>
        <w:t>Journal of Novel Research and Innovative Development, 3</w:t>
      </w:r>
      <w:r w:rsidRPr="00D51629">
        <w:rPr>
          <w:rFonts w:ascii="Arial" w:hAnsi="Arial" w:cs="Arial"/>
        </w:rPr>
        <w:t xml:space="preserve">(9), a186–a193. </w:t>
      </w:r>
    </w:p>
    <w:p w14:paraId="05544217"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Tran Thanh Thuy, N., Tran Thi Hai Yen, N., &amp; Nguyen, A. T. (2025). Effect of accounting information system quality on decision-making success and non-financial performance. </w:t>
      </w:r>
      <w:r w:rsidRPr="00D51629">
        <w:rPr>
          <w:rFonts w:ascii="Arial" w:hAnsi="Arial" w:cs="Arial"/>
          <w:i/>
          <w:iCs/>
        </w:rPr>
        <w:lastRenderedPageBreak/>
        <w:t>Cogent Business &amp; Management, 12</w:t>
      </w:r>
      <w:r w:rsidRPr="00D51629">
        <w:rPr>
          <w:rFonts w:ascii="Arial" w:hAnsi="Arial" w:cs="Arial"/>
        </w:rPr>
        <w:t xml:space="preserve">, 2447913. </w:t>
      </w:r>
    </w:p>
    <w:p w14:paraId="0C780CE1"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Wang, R. Y., &amp; Strong, D. M. (1996). Beyond accuracy: What data quality means to data consumers. </w:t>
      </w:r>
      <w:r w:rsidRPr="00D51629">
        <w:rPr>
          <w:rFonts w:ascii="Arial" w:hAnsi="Arial" w:cs="Arial"/>
          <w:i/>
          <w:iCs/>
        </w:rPr>
        <w:t>Journal of Management Information Systems, 12</w:t>
      </w:r>
      <w:r w:rsidRPr="00D51629">
        <w:rPr>
          <w:rFonts w:ascii="Arial" w:hAnsi="Arial" w:cs="Arial"/>
        </w:rPr>
        <w:t xml:space="preserve">(4), 5–34. </w:t>
      </w:r>
    </w:p>
    <w:p w14:paraId="7492C0C4"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Deloitte. (2023). </w:t>
      </w:r>
      <w:r w:rsidRPr="00D51629">
        <w:rPr>
          <w:rFonts w:ascii="Arial" w:hAnsi="Arial" w:cs="Arial"/>
          <w:i/>
        </w:rPr>
        <w:t>Tax in a digital world: The impact of technology on tax compliance and reporting</w:t>
      </w:r>
      <w:r w:rsidRPr="00D51629">
        <w:rPr>
          <w:rFonts w:ascii="Arial" w:hAnsi="Arial" w:cs="Arial"/>
        </w:rPr>
        <w:t>. Deloitte Insights. https://www2.deloitte.com</w:t>
      </w:r>
    </w:p>
    <w:p w14:paraId="3CFA25C6"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EY India. (2022). </w:t>
      </w:r>
      <w:r w:rsidRPr="00D51629">
        <w:rPr>
          <w:rFonts w:ascii="Arial" w:hAnsi="Arial" w:cs="Arial"/>
          <w:i/>
        </w:rPr>
        <w:t>Tax and regulatory updates in India 2022–23</w:t>
      </w:r>
      <w:r w:rsidRPr="00D51629">
        <w:rPr>
          <w:rFonts w:ascii="Arial" w:hAnsi="Arial" w:cs="Arial"/>
        </w:rPr>
        <w:t>. Ernst &amp; Young Global</w:t>
      </w:r>
      <w:r w:rsidRPr="00D51629">
        <w:rPr>
          <w:rFonts w:ascii="Arial" w:hAnsi="Arial" w:cs="Arial"/>
          <w:spacing w:val="40"/>
        </w:rPr>
        <w:t xml:space="preserve"> </w:t>
      </w:r>
      <w:r w:rsidRPr="00D51629">
        <w:rPr>
          <w:rFonts w:ascii="Arial" w:hAnsi="Arial" w:cs="Arial"/>
        </w:rPr>
        <w:t>Limited. https://</w:t>
      </w:r>
      <w:hyperlink r:id="rId11">
        <w:r w:rsidRPr="00D51629">
          <w:rPr>
            <w:rFonts w:ascii="Arial" w:hAnsi="Arial" w:cs="Arial"/>
          </w:rPr>
          <w:t>www.ey.com</w:t>
        </w:r>
      </w:hyperlink>
    </w:p>
    <w:p w14:paraId="6387FF75"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Grant</w:t>
      </w:r>
      <w:r w:rsidRPr="00D51629">
        <w:rPr>
          <w:rFonts w:ascii="Arial" w:hAnsi="Arial" w:cs="Arial"/>
          <w:spacing w:val="80"/>
        </w:rPr>
        <w:t xml:space="preserve"> </w:t>
      </w:r>
      <w:r w:rsidRPr="00D51629">
        <w:rPr>
          <w:rFonts w:ascii="Arial" w:hAnsi="Arial" w:cs="Arial"/>
        </w:rPr>
        <w:t>Thornton</w:t>
      </w:r>
      <w:r w:rsidRPr="00D51629">
        <w:rPr>
          <w:rFonts w:ascii="Arial" w:hAnsi="Arial" w:cs="Arial"/>
          <w:spacing w:val="80"/>
        </w:rPr>
        <w:t xml:space="preserve"> </w:t>
      </w:r>
      <w:r w:rsidRPr="00D51629">
        <w:rPr>
          <w:rFonts w:ascii="Arial" w:hAnsi="Arial" w:cs="Arial"/>
        </w:rPr>
        <w:t>Bharat.</w:t>
      </w:r>
      <w:r w:rsidRPr="00D51629">
        <w:rPr>
          <w:rFonts w:ascii="Arial" w:hAnsi="Arial" w:cs="Arial"/>
          <w:spacing w:val="80"/>
        </w:rPr>
        <w:t xml:space="preserve"> </w:t>
      </w:r>
      <w:r w:rsidRPr="00D51629">
        <w:rPr>
          <w:rFonts w:ascii="Arial" w:hAnsi="Arial" w:cs="Arial"/>
        </w:rPr>
        <w:t>(2023).</w:t>
      </w:r>
      <w:r w:rsidRPr="00D51629">
        <w:rPr>
          <w:rFonts w:ascii="Arial" w:hAnsi="Arial" w:cs="Arial"/>
          <w:spacing w:val="80"/>
          <w:w w:val="150"/>
        </w:rPr>
        <w:t xml:space="preserve"> </w:t>
      </w:r>
      <w:r w:rsidRPr="00D51629">
        <w:rPr>
          <w:rFonts w:ascii="Arial" w:hAnsi="Arial" w:cs="Arial"/>
          <w:i/>
        </w:rPr>
        <w:t>The</w:t>
      </w:r>
      <w:r w:rsidRPr="00D51629">
        <w:rPr>
          <w:rFonts w:ascii="Arial" w:hAnsi="Arial" w:cs="Arial"/>
          <w:i/>
          <w:spacing w:val="80"/>
        </w:rPr>
        <w:t xml:space="preserve"> </w:t>
      </w:r>
      <w:r w:rsidRPr="00D51629">
        <w:rPr>
          <w:rFonts w:ascii="Arial" w:hAnsi="Arial" w:cs="Arial"/>
          <w:i/>
        </w:rPr>
        <w:t>evolving</w:t>
      </w:r>
      <w:r w:rsidRPr="00D51629">
        <w:rPr>
          <w:rFonts w:ascii="Arial" w:hAnsi="Arial" w:cs="Arial"/>
          <w:i/>
          <w:spacing w:val="80"/>
          <w:w w:val="150"/>
        </w:rPr>
        <w:t xml:space="preserve"> </w:t>
      </w:r>
      <w:r w:rsidRPr="00D51629">
        <w:rPr>
          <w:rFonts w:ascii="Arial" w:hAnsi="Arial" w:cs="Arial"/>
          <w:i/>
        </w:rPr>
        <w:t>role</w:t>
      </w:r>
      <w:r w:rsidRPr="00D51629">
        <w:rPr>
          <w:rFonts w:ascii="Arial" w:hAnsi="Arial" w:cs="Arial"/>
          <w:i/>
          <w:spacing w:val="80"/>
        </w:rPr>
        <w:t xml:space="preserve"> </w:t>
      </w:r>
      <w:r w:rsidRPr="00D51629">
        <w:rPr>
          <w:rFonts w:ascii="Arial" w:hAnsi="Arial" w:cs="Arial"/>
          <w:i/>
        </w:rPr>
        <w:t>of</w:t>
      </w:r>
      <w:r w:rsidRPr="00D51629">
        <w:rPr>
          <w:rFonts w:ascii="Arial" w:hAnsi="Arial" w:cs="Arial"/>
          <w:i/>
          <w:spacing w:val="80"/>
        </w:rPr>
        <w:t xml:space="preserve"> </w:t>
      </w:r>
      <w:r w:rsidRPr="00D51629">
        <w:rPr>
          <w:rFonts w:ascii="Arial" w:hAnsi="Arial" w:cs="Arial"/>
          <w:i/>
        </w:rPr>
        <w:t>technology</w:t>
      </w:r>
      <w:r w:rsidRPr="00D51629">
        <w:rPr>
          <w:rFonts w:ascii="Arial" w:hAnsi="Arial" w:cs="Arial"/>
          <w:i/>
          <w:spacing w:val="80"/>
        </w:rPr>
        <w:t xml:space="preserve"> </w:t>
      </w:r>
      <w:r w:rsidRPr="00D51629">
        <w:rPr>
          <w:rFonts w:ascii="Arial" w:hAnsi="Arial" w:cs="Arial"/>
          <w:i/>
        </w:rPr>
        <w:t>in</w:t>
      </w:r>
      <w:r w:rsidRPr="00D51629">
        <w:rPr>
          <w:rFonts w:ascii="Arial" w:hAnsi="Arial" w:cs="Arial"/>
          <w:i/>
          <w:spacing w:val="80"/>
        </w:rPr>
        <w:t xml:space="preserve"> </w:t>
      </w:r>
      <w:r w:rsidRPr="00D51629">
        <w:rPr>
          <w:rFonts w:ascii="Arial" w:hAnsi="Arial" w:cs="Arial"/>
          <w:i/>
        </w:rPr>
        <w:t>compliance</w:t>
      </w:r>
      <w:r w:rsidRPr="00D51629">
        <w:rPr>
          <w:rFonts w:ascii="Arial" w:hAnsi="Arial" w:cs="Arial"/>
          <w:i/>
          <w:spacing w:val="40"/>
        </w:rPr>
        <w:t xml:space="preserve"> </w:t>
      </w:r>
      <w:r w:rsidRPr="00D51629">
        <w:rPr>
          <w:rFonts w:ascii="Arial" w:hAnsi="Arial" w:cs="Arial"/>
          <w:i/>
        </w:rPr>
        <w:t>management</w:t>
      </w:r>
      <w:r w:rsidRPr="00D51629">
        <w:rPr>
          <w:rFonts w:ascii="Arial" w:hAnsi="Arial" w:cs="Arial"/>
        </w:rPr>
        <w:t>. Grant Thornton India LLP. https://</w:t>
      </w:r>
      <w:hyperlink r:id="rId12">
        <w:r w:rsidRPr="00D51629">
          <w:rPr>
            <w:rFonts w:ascii="Arial" w:hAnsi="Arial" w:cs="Arial"/>
          </w:rPr>
          <w:t>www.grantthornton.in</w:t>
        </w:r>
      </w:hyperlink>
    </w:p>
    <w:p w14:paraId="7360263C"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ICAI.</w:t>
      </w:r>
      <w:r w:rsidRPr="00D51629">
        <w:rPr>
          <w:rFonts w:ascii="Arial" w:hAnsi="Arial" w:cs="Arial"/>
          <w:spacing w:val="40"/>
        </w:rPr>
        <w:t xml:space="preserve"> </w:t>
      </w:r>
      <w:r w:rsidRPr="00D51629">
        <w:rPr>
          <w:rFonts w:ascii="Arial" w:hAnsi="Arial" w:cs="Arial"/>
        </w:rPr>
        <w:t>(2023).</w:t>
      </w:r>
      <w:r w:rsidRPr="00D51629">
        <w:rPr>
          <w:rFonts w:ascii="Arial" w:hAnsi="Arial" w:cs="Arial"/>
          <w:spacing w:val="40"/>
        </w:rPr>
        <w:t xml:space="preserve"> </w:t>
      </w:r>
      <w:r w:rsidRPr="00D51629">
        <w:rPr>
          <w:rFonts w:ascii="Arial" w:hAnsi="Arial" w:cs="Arial"/>
          <w:i/>
        </w:rPr>
        <w:t>Handbook</w:t>
      </w:r>
      <w:r w:rsidRPr="00D51629">
        <w:rPr>
          <w:rFonts w:ascii="Arial" w:hAnsi="Arial" w:cs="Arial"/>
          <w:i/>
          <w:spacing w:val="40"/>
        </w:rPr>
        <w:t xml:space="preserve"> </w:t>
      </w:r>
      <w:r w:rsidRPr="00D51629">
        <w:rPr>
          <w:rFonts w:ascii="Arial" w:hAnsi="Arial" w:cs="Arial"/>
          <w:i/>
        </w:rPr>
        <w:t>on</w:t>
      </w:r>
      <w:r w:rsidRPr="00D51629">
        <w:rPr>
          <w:rFonts w:ascii="Arial" w:hAnsi="Arial" w:cs="Arial"/>
          <w:i/>
          <w:spacing w:val="40"/>
        </w:rPr>
        <w:t xml:space="preserve"> </w:t>
      </w:r>
      <w:r w:rsidRPr="00D51629">
        <w:rPr>
          <w:rFonts w:ascii="Arial" w:hAnsi="Arial" w:cs="Arial"/>
          <w:i/>
        </w:rPr>
        <w:t>Indian</w:t>
      </w:r>
      <w:r w:rsidRPr="00D51629">
        <w:rPr>
          <w:rFonts w:ascii="Arial" w:hAnsi="Arial" w:cs="Arial"/>
          <w:i/>
          <w:spacing w:val="40"/>
        </w:rPr>
        <w:t xml:space="preserve"> </w:t>
      </w:r>
      <w:r w:rsidRPr="00D51629">
        <w:rPr>
          <w:rFonts w:ascii="Arial" w:hAnsi="Arial" w:cs="Arial"/>
          <w:i/>
        </w:rPr>
        <w:t>Accounting</w:t>
      </w:r>
      <w:r w:rsidRPr="00D51629">
        <w:rPr>
          <w:rFonts w:ascii="Arial" w:hAnsi="Arial" w:cs="Arial"/>
          <w:i/>
          <w:spacing w:val="40"/>
        </w:rPr>
        <w:t xml:space="preserve"> </w:t>
      </w:r>
      <w:r w:rsidRPr="00D51629">
        <w:rPr>
          <w:rFonts w:ascii="Arial" w:hAnsi="Arial" w:cs="Arial"/>
          <w:i/>
        </w:rPr>
        <w:t>and</w:t>
      </w:r>
      <w:r w:rsidRPr="00D51629">
        <w:rPr>
          <w:rFonts w:ascii="Arial" w:hAnsi="Arial" w:cs="Arial"/>
          <w:i/>
          <w:spacing w:val="40"/>
        </w:rPr>
        <w:t xml:space="preserve"> </w:t>
      </w:r>
      <w:r w:rsidRPr="00D51629">
        <w:rPr>
          <w:rFonts w:ascii="Arial" w:hAnsi="Arial" w:cs="Arial"/>
          <w:i/>
        </w:rPr>
        <w:t>Auditing</w:t>
      </w:r>
      <w:r w:rsidRPr="00D51629">
        <w:rPr>
          <w:rFonts w:ascii="Arial" w:hAnsi="Arial" w:cs="Arial"/>
          <w:i/>
          <w:spacing w:val="40"/>
        </w:rPr>
        <w:t xml:space="preserve"> </w:t>
      </w:r>
      <w:r w:rsidRPr="00D51629">
        <w:rPr>
          <w:rFonts w:ascii="Arial" w:hAnsi="Arial" w:cs="Arial"/>
          <w:i/>
        </w:rPr>
        <w:t>Standards</w:t>
      </w:r>
      <w:r w:rsidRPr="00D51629">
        <w:rPr>
          <w:rFonts w:ascii="Arial" w:hAnsi="Arial" w:cs="Arial"/>
        </w:rPr>
        <w:t>.</w:t>
      </w:r>
      <w:r w:rsidRPr="00D51629">
        <w:rPr>
          <w:rFonts w:ascii="Arial" w:hAnsi="Arial" w:cs="Arial"/>
          <w:spacing w:val="40"/>
        </w:rPr>
        <w:t xml:space="preserve"> </w:t>
      </w:r>
      <w:r w:rsidRPr="00D51629">
        <w:rPr>
          <w:rFonts w:ascii="Arial" w:hAnsi="Arial" w:cs="Arial"/>
        </w:rPr>
        <w:t>Institute</w:t>
      </w:r>
      <w:r w:rsidRPr="00D51629">
        <w:rPr>
          <w:rFonts w:ascii="Arial" w:hAnsi="Arial" w:cs="Arial"/>
          <w:spacing w:val="40"/>
        </w:rPr>
        <w:t xml:space="preserve"> </w:t>
      </w:r>
      <w:r w:rsidRPr="00D51629">
        <w:rPr>
          <w:rFonts w:ascii="Arial" w:hAnsi="Arial" w:cs="Arial"/>
        </w:rPr>
        <w:t>of</w:t>
      </w:r>
      <w:r w:rsidRPr="00D51629">
        <w:rPr>
          <w:rFonts w:ascii="Arial" w:hAnsi="Arial" w:cs="Arial"/>
          <w:spacing w:val="40"/>
        </w:rPr>
        <w:t xml:space="preserve"> </w:t>
      </w:r>
      <w:r w:rsidRPr="00D51629">
        <w:rPr>
          <w:rFonts w:ascii="Arial" w:hAnsi="Arial" w:cs="Arial"/>
        </w:rPr>
        <w:t>Chartered Accountants of India. https://</w:t>
      </w:r>
      <w:hyperlink r:id="rId13">
        <w:r w:rsidRPr="00D51629">
          <w:rPr>
            <w:rFonts w:ascii="Arial" w:hAnsi="Arial" w:cs="Arial"/>
          </w:rPr>
          <w:t>www.icai.org</w:t>
        </w:r>
      </w:hyperlink>
    </w:p>
    <w:p w14:paraId="4AA7B9DE"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KPMG.</w:t>
      </w:r>
      <w:r w:rsidRPr="00D51629">
        <w:rPr>
          <w:rFonts w:ascii="Arial" w:hAnsi="Arial" w:cs="Arial"/>
          <w:spacing w:val="-16"/>
        </w:rPr>
        <w:t xml:space="preserve"> </w:t>
      </w:r>
      <w:r w:rsidRPr="00D51629">
        <w:rPr>
          <w:rFonts w:ascii="Arial" w:hAnsi="Arial" w:cs="Arial"/>
        </w:rPr>
        <w:t>(2023).</w:t>
      </w:r>
      <w:r w:rsidRPr="00D51629">
        <w:rPr>
          <w:rFonts w:ascii="Arial" w:hAnsi="Arial" w:cs="Arial"/>
          <w:spacing w:val="-15"/>
        </w:rPr>
        <w:t xml:space="preserve"> </w:t>
      </w:r>
      <w:r w:rsidRPr="00D51629">
        <w:rPr>
          <w:rFonts w:ascii="Arial" w:hAnsi="Arial" w:cs="Arial"/>
          <w:i/>
        </w:rPr>
        <w:t>The</w:t>
      </w:r>
      <w:r w:rsidRPr="00D51629">
        <w:rPr>
          <w:rFonts w:ascii="Arial" w:hAnsi="Arial" w:cs="Arial"/>
          <w:i/>
          <w:spacing w:val="-17"/>
        </w:rPr>
        <w:t xml:space="preserve"> </w:t>
      </w:r>
      <w:r w:rsidRPr="00D51629">
        <w:rPr>
          <w:rFonts w:ascii="Arial" w:hAnsi="Arial" w:cs="Arial"/>
          <w:i/>
        </w:rPr>
        <w:t>future</w:t>
      </w:r>
      <w:r w:rsidRPr="00D51629">
        <w:rPr>
          <w:rFonts w:ascii="Arial" w:hAnsi="Arial" w:cs="Arial"/>
          <w:i/>
          <w:spacing w:val="-17"/>
        </w:rPr>
        <w:t xml:space="preserve"> </w:t>
      </w:r>
      <w:r w:rsidRPr="00D51629">
        <w:rPr>
          <w:rFonts w:ascii="Arial" w:hAnsi="Arial" w:cs="Arial"/>
          <w:i/>
        </w:rPr>
        <w:t>of</w:t>
      </w:r>
      <w:r w:rsidRPr="00D51629">
        <w:rPr>
          <w:rFonts w:ascii="Arial" w:hAnsi="Arial" w:cs="Arial"/>
          <w:i/>
          <w:spacing w:val="-17"/>
        </w:rPr>
        <w:t xml:space="preserve"> </w:t>
      </w:r>
      <w:r w:rsidRPr="00D51629">
        <w:rPr>
          <w:rFonts w:ascii="Arial" w:hAnsi="Arial" w:cs="Arial"/>
          <w:i/>
        </w:rPr>
        <w:t>tax</w:t>
      </w:r>
      <w:r w:rsidRPr="00D51629">
        <w:rPr>
          <w:rFonts w:ascii="Arial" w:hAnsi="Arial" w:cs="Arial"/>
          <w:i/>
          <w:spacing w:val="-17"/>
        </w:rPr>
        <w:t xml:space="preserve"> </w:t>
      </w:r>
      <w:r w:rsidRPr="00D51629">
        <w:rPr>
          <w:rFonts w:ascii="Arial" w:hAnsi="Arial" w:cs="Arial"/>
          <w:i/>
        </w:rPr>
        <w:t>compliance</w:t>
      </w:r>
      <w:r w:rsidRPr="00D51629">
        <w:rPr>
          <w:rFonts w:ascii="Arial" w:hAnsi="Arial" w:cs="Arial"/>
          <w:i/>
          <w:spacing w:val="-15"/>
        </w:rPr>
        <w:t xml:space="preserve"> </w:t>
      </w:r>
      <w:r w:rsidRPr="00D51629">
        <w:rPr>
          <w:rFonts w:ascii="Arial" w:hAnsi="Arial" w:cs="Arial"/>
          <w:i/>
        </w:rPr>
        <w:t>in</w:t>
      </w:r>
      <w:r w:rsidRPr="00D51629">
        <w:rPr>
          <w:rFonts w:ascii="Arial" w:hAnsi="Arial" w:cs="Arial"/>
          <w:i/>
          <w:spacing w:val="-16"/>
        </w:rPr>
        <w:t xml:space="preserve"> </w:t>
      </w:r>
      <w:r w:rsidRPr="00D51629">
        <w:rPr>
          <w:rFonts w:ascii="Arial" w:hAnsi="Arial" w:cs="Arial"/>
          <w:i/>
        </w:rPr>
        <w:t>India:</w:t>
      </w:r>
      <w:r w:rsidRPr="00D51629">
        <w:rPr>
          <w:rFonts w:ascii="Arial" w:hAnsi="Arial" w:cs="Arial"/>
          <w:i/>
          <w:spacing w:val="-15"/>
        </w:rPr>
        <w:t xml:space="preserve"> </w:t>
      </w:r>
      <w:r w:rsidRPr="00D51629">
        <w:rPr>
          <w:rFonts w:ascii="Arial" w:hAnsi="Arial" w:cs="Arial"/>
          <w:i/>
        </w:rPr>
        <w:t>Embracing</w:t>
      </w:r>
      <w:r w:rsidRPr="00D51629">
        <w:rPr>
          <w:rFonts w:ascii="Arial" w:hAnsi="Arial" w:cs="Arial"/>
          <w:i/>
          <w:spacing w:val="-16"/>
        </w:rPr>
        <w:t xml:space="preserve"> </w:t>
      </w:r>
      <w:r w:rsidRPr="00D51629">
        <w:rPr>
          <w:rFonts w:ascii="Arial" w:hAnsi="Arial" w:cs="Arial"/>
          <w:i/>
        </w:rPr>
        <w:t>technology</w:t>
      </w:r>
      <w:r w:rsidRPr="00D51629">
        <w:rPr>
          <w:rFonts w:ascii="Arial" w:hAnsi="Arial" w:cs="Arial"/>
          <w:i/>
          <w:spacing w:val="-15"/>
        </w:rPr>
        <w:t xml:space="preserve"> </w:t>
      </w:r>
      <w:r w:rsidRPr="00D51629">
        <w:rPr>
          <w:rFonts w:ascii="Arial" w:hAnsi="Arial" w:cs="Arial"/>
          <w:i/>
        </w:rPr>
        <w:t>for</w:t>
      </w:r>
      <w:r w:rsidRPr="00D51629">
        <w:rPr>
          <w:rFonts w:ascii="Arial" w:hAnsi="Arial" w:cs="Arial"/>
          <w:i/>
          <w:spacing w:val="-15"/>
        </w:rPr>
        <w:t xml:space="preserve"> </w:t>
      </w:r>
      <w:r w:rsidRPr="00D51629">
        <w:rPr>
          <w:rFonts w:ascii="Arial" w:hAnsi="Arial" w:cs="Arial"/>
          <w:i/>
        </w:rPr>
        <w:t>efficiency</w:t>
      </w:r>
      <w:r w:rsidRPr="00D51629">
        <w:rPr>
          <w:rFonts w:ascii="Arial" w:hAnsi="Arial" w:cs="Arial"/>
        </w:rPr>
        <w:t>. KPMG International Limited. https://home.kpmg</w:t>
      </w:r>
    </w:p>
    <w:p w14:paraId="1F924D0C" w14:textId="2E74B0A6" w:rsidR="00B4115B" w:rsidRPr="00D51629" w:rsidRDefault="001E3808" w:rsidP="00D51629">
      <w:pPr>
        <w:spacing w:after="120" w:line="276" w:lineRule="auto"/>
        <w:ind w:left="720" w:hanging="720"/>
        <w:jc w:val="both"/>
        <w:rPr>
          <w:rFonts w:ascii="Arial" w:hAnsi="Arial" w:cs="Arial"/>
        </w:rPr>
      </w:pPr>
      <w:r w:rsidRPr="00D51629">
        <w:rPr>
          <w:rFonts w:ascii="Arial" w:hAnsi="Arial" w:cs="Arial"/>
        </w:rPr>
        <w:t>PwC</w:t>
      </w:r>
      <w:r w:rsidRPr="00D51629">
        <w:rPr>
          <w:rFonts w:ascii="Arial" w:hAnsi="Arial" w:cs="Arial"/>
          <w:spacing w:val="37"/>
        </w:rPr>
        <w:t xml:space="preserve"> </w:t>
      </w:r>
      <w:r w:rsidRPr="00D51629">
        <w:rPr>
          <w:rFonts w:ascii="Arial" w:hAnsi="Arial" w:cs="Arial"/>
        </w:rPr>
        <w:t>India.</w:t>
      </w:r>
      <w:r w:rsidRPr="00D51629">
        <w:rPr>
          <w:rFonts w:ascii="Arial" w:hAnsi="Arial" w:cs="Arial"/>
          <w:spacing w:val="37"/>
        </w:rPr>
        <w:t xml:space="preserve"> </w:t>
      </w:r>
      <w:r w:rsidRPr="00D51629">
        <w:rPr>
          <w:rFonts w:ascii="Arial" w:hAnsi="Arial" w:cs="Arial"/>
        </w:rPr>
        <w:t>(2023).</w:t>
      </w:r>
      <w:r w:rsidRPr="00D51629">
        <w:rPr>
          <w:rFonts w:ascii="Arial" w:hAnsi="Arial" w:cs="Arial"/>
          <w:spacing w:val="39"/>
        </w:rPr>
        <w:t xml:space="preserve"> </w:t>
      </w:r>
      <w:r w:rsidRPr="00D51629">
        <w:rPr>
          <w:rFonts w:ascii="Arial" w:hAnsi="Arial" w:cs="Arial"/>
          <w:i/>
        </w:rPr>
        <w:t>Transforming</w:t>
      </w:r>
      <w:r w:rsidRPr="00D51629">
        <w:rPr>
          <w:rFonts w:ascii="Arial" w:hAnsi="Arial" w:cs="Arial"/>
          <w:i/>
          <w:spacing w:val="37"/>
        </w:rPr>
        <w:t xml:space="preserve"> </w:t>
      </w:r>
      <w:r w:rsidRPr="00D51629">
        <w:rPr>
          <w:rFonts w:ascii="Arial" w:hAnsi="Arial" w:cs="Arial"/>
          <w:i/>
        </w:rPr>
        <w:t>compliance</w:t>
      </w:r>
      <w:r w:rsidRPr="00D51629">
        <w:rPr>
          <w:rFonts w:ascii="Arial" w:hAnsi="Arial" w:cs="Arial"/>
          <w:i/>
          <w:spacing w:val="36"/>
        </w:rPr>
        <w:t xml:space="preserve"> </w:t>
      </w:r>
      <w:r w:rsidRPr="00D51629">
        <w:rPr>
          <w:rFonts w:ascii="Arial" w:hAnsi="Arial" w:cs="Arial"/>
          <w:i/>
        </w:rPr>
        <w:t>in</w:t>
      </w:r>
      <w:r w:rsidRPr="00D51629">
        <w:rPr>
          <w:rFonts w:ascii="Arial" w:hAnsi="Arial" w:cs="Arial"/>
          <w:i/>
          <w:spacing w:val="37"/>
        </w:rPr>
        <w:t xml:space="preserve"> </w:t>
      </w:r>
      <w:r w:rsidRPr="00D51629">
        <w:rPr>
          <w:rFonts w:ascii="Arial" w:hAnsi="Arial" w:cs="Arial"/>
          <w:i/>
        </w:rPr>
        <w:t>India:</w:t>
      </w:r>
      <w:r w:rsidRPr="00D51629">
        <w:rPr>
          <w:rFonts w:ascii="Arial" w:hAnsi="Arial" w:cs="Arial"/>
          <w:i/>
          <w:spacing w:val="37"/>
        </w:rPr>
        <w:t xml:space="preserve"> </w:t>
      </w:r>
      <w:r w:rsidRPr="00D51629">
        <w:rPr>
          <w:rFonts w:ascii="Arial" w:hAnsi="Arial" w:cs="Arial"/>
          <w:i/>
        </w:rPr>
        <w:t>GST,</w:t>
      </w:r>
      <w:r w:rsidRPr="00D51629">
        <w:rPr>
          <w:rFonts w:ascii="Arial" w:hAnsi="Arial" w:cs="Arial"/>
          <w:i/>
          <w:spacing w:val="37"/>
        </w:rPr>
        <w:t xml:space="preserve"> </w:t>
      </w:r>
      <w:r w:rsidRPr="00D51629">
        <w:rPr>
          <w:rFonts w:ascii="Arial" w:hAnsi="Arial" w:cs="Arial"/>
          <w:i/>
        </w:rPr>
        <w:t>e-invoicing,</w:t>
      </w:r>
      <w:r w:rsidRPr="00D51629">
        <w:rPr>
          <w:rFonts w:ascii="Arial" w:hAnsi="Arial" w:cs="Arial"/>
          <w:i/>
          <w:spacing w:val="37"/>
        </w:rPr>
        <w:t xml:space="preserve"> </w:t>
      </w:r>
      <w:r w:rsidRPr="00D51629">
        <w:rPr>
          <w:rFonts w:ascii="Arial" w:hAnsi="Arial" w:cs="Arial"/>
          <w:i/>
        </w:rPr>
        <w:t>and</w:t>
      </w:r>
      <w:r w:rsidRPr="00D51629">
        <w:rPr>
          <w:rFonts w:ascii="Arial" w:hAnsi="Arial" w:cs="Arial"/>
          <w:i/>
          <w:spacing w:val="37"/>
        </w:rPr>
        <w:t xml:space="preserve"> </w:t>
      </w:r>
      <w:r w:rsidRPr="00D51629">
        <w:rPr>
          <w:rFonts w:ascii="Arial" w:hAnsi="Arial" w:cs="Arial"/>
          <w:i/>
        </w:rPr>
        <w:t>beyond</w:t>
      </w:r>
      <w:r w:rsidRPr="00D51629">
        <w:rPr>
          <w:rFonts w:ascii="Arial" w:hAnsi="Arial" w:cs="Arial"/>
        </w:rPr>
        <w:t>. PricewaterhouseCoopers Private Limited. https://</w:t>
      </w:r>
      <w:hyperlink r:id="rId14">
        <w:r w:rsidRPr="00D51629">
          <w:rPr>
            <w:rFonts w:ascii="Arial" w:hAnsi="Arial" w:cs="Arial"/>
          </w:rPr>
          <w:t>www.pwc.in</w:t>
        </w:r>
      </w:hyperlink>
    </w:p>
    <w:p w14:paraId="4AA27F34" w14:textId="77777777" w:rsidR="001E3808" w:rsidRPr="00D51629" w:rsidRDefault="001E3808" w:rsidP="00D51629">
      <w:pPr>
        <w:spacing w:after="120" w:line="276" w:lineRule="auto"/>
        <w:ind w:left="720" w:hanging="720"/>
        <w:jc w:val="both"/>
        <w:rPr>
          <w:rFonts w:ascii="Arial" w:hAnsi="Arial" w:cs="Arial"/>
        </w:rPr>
      </w:pPr>
      <w:r w:rsidRPr="00D51629">
        <w:rPr>
          <w:rFonts w:ascii="Arial" w:hAnsi="Arial" w:cs="Arial"/>
        </w:rPr>
        <w:t xml:space="preserve">World Bank. (2022). </w:t>
      </w:r>
      <w:r w:rsidRPr="00D51629">
        <w:rPr>
          <w:rFonts w:ascii="Arial" w:hAnsi="Arial" w:cs="Arial"/>
          <w:i/>
        </w:rPr>
        <w:t>Doing Business 2022: Measuring regulatory quality and efficiency</w:t>
      </w:r>
      <w:r w:rsidRPr="00D51629">
        <w:rPr>
          <w:rFonts w:ascii="Arial" w:hAnsi="Arial" w:cs="Arial"/>
        </w:rPr>
        <w:t xml:space="preserve">. World Bank Publications. </w:t>
      </w:r>
    </w:p>
    <w:p w14:paraId="56F6D06C" w14:textId="77777777" w:rsidR="00484CB2" w:rsidRPr="008B5D01" w:rsidRDefault="00484CB2" w:rsidP="008B5D01">
      <w:pPr>
        <w:spacing w:after="120" w:line="276" w:lineRule="auto"/>
        <w:rPr>
          <w:rFonts w:ascii="Arial" w:hAnsi="Arial" w:cs="Arial"/>
        </w:rPr>
      </w:pPr>
    </w:p>
    <w:sectPr w:rsidR="00484CB2" w:rsidRPr="008B5D01" w:rsidSect="008B5D01">
      <w:type w:val="continuous"/>
      <w:pgSz w:w="11906" w:h="16838" w:code="9"/>
      <w:pgMar w:top="1440" w:right="1440" w:bottom="1440" w:left="1440" w:header="1008" w:footer="720" w:gutter="0"/>
      <w:pgNumType w:start="1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1F33" w14:textId="77777777" w:rsidR="00DD4A61" w:rsidRDefault="00DD4A61" w:rsidP="006F1BC6">
      <w:pPr>
        <w:spacing w:after="0" w:line="240" w:lineRule="auto"/>
      </w:pPr>
      <w:r>
        <w:separator/>
      </w:r>
    </w:p>
  </w:endnote>
  <w:endnote w:type="continuationSeparator" w:id="0">
    <w:p w14:paraId="1756EDF3" w14:textId="77777777" w:rsidR="00DD4A61" w:rsidRDefault="00DD4A61" w:rsidP="006F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7E73" w14:textId="77777777" w:rsidR="00DD4A61" w:rsidRDefault="00DD4A61" w:rsidP="006F1BC6">
      <w:pPr>
        <w:spacing w:after="0" w:line="240" w:lineRule="auto"/>
      </w:pPr>
      <w:r>
        <w:separator/>
      </w:r>
    </w:p>
  </w:footnote>
  <w:footnote w:type="continuationSeparator" w:id="0">
    <w:p w14:paraId="57A49AF2" w14:textId="77777777" w:rsidR="00DD4A61" w:rsidRDefault="00DD4A61" w:rsidP="006F1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8486" w14:textId="1451A5D9" w:rsidR="008B5D01" w:rsidRDefault="008B5D01" w:rsidP="008B5D01">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rPr>
      <w:t>Meghana, Dr. Salma Begum</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4D0606">
      <w:rPr>
        <w:rFonts w:ascii="Arial" w:hAnsi="Arial" w:cs="Arial"/>
        <w:noProof/>
        <w:sz w:val="16"/>
        <w:szCs w:val="16"/>
      </w:rPr>
      <w:t>14</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95D2" w14:textId="30D41DE6" w:rsidR="006F1BC6" w:rsidRPr="008B5D01" w:rsidRDefault="008B5D01" w:rsidP="008B5D01">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4D0606">
      <w:rPr>
        <w:rFonts w:ascii="Arial" w:hAnsi="Arial" w:cs="Arial"/>
        <w:noProof/>
        <w:sz w:val="16"/>
        <w:szCs w:val="16"/>
      </w:rPr>
      <w:t>19</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004D0606">
      <w:rPr>
        <w:rFonts w:ascii="Arial" w:eastAsia="Arial" w:hAnsi="Arial" w:cs="Arial"/>
        <w:i/>
        <w:color w:val="000000"/>
        <w:spacing w:val="-1"/>
        <w:sz w:val="16"/>
        <w:szCs w:val="16"/>
      </w:rPr>
      <w:t xml:space="preserve">     Dec</w:t>
    </w:r>
    <w:r>
      <w:rPr>
        <w:rFonts w:ascii="Arial" w:eastAsia="Arial" w:hAnsi="Arial" w:cs="Arial"/>
        <w:i/>
        <w:color w:val="000000"/>
        <w:spacing w:val="-1"/>
        <w:sz w:val="16"/>
        <w:szCs w:val="16"/>
      </w:rPr>
      <w:t>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CFC"/>
    <w:multiLevelType w:val="multilevel"/>
    <w:tmpl w:val="C11E3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0CF0"/>
    <w:multiLevelType w:val="hybridMultilevel"/>
    <w:tmpl w:val="EE62D7FE"/>
    <w:lvl w:ilvl="0" w:tplc="2DE29AE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0918E9"/>
    <w:multiLevelType w:val="hybridMultilevel"/>
    <w:tmpl w:val="AC8624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FF4BFF"/>
    <w:multiLevelType w:val="hybridMultilevel"/>
    <w:tmpl w:val="7A744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9D3329"/>
    <w:multiLevelType w:val="hybridMultilevel"/>
    <w:tmpl w:val="AE2A23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34321F"/>
    <w:multiLevelType w:val="hybridMultilevel"/>
    <w:tmpl w:val="23664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E6A4193"/>
    <w:multiLevelType w:val="hybridMultilevel"/>
    <w:tmpl w:val="D04C6B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51C2666"/>
    <w:multiLevelType w:val="hybridMultilevel"/>
    <w:tmpl w:val="4EB607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C74C59"/>
    <w:multiLevelType w:val="hybridMultilevel"/>
    <w:tmpl w:val="5CF6E4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5C43BD0"/>
    <w:multiLevelType w:val="hybridMultilevel"/>
    <w:tmpl w:val="C4928A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491616"/>
    <w:multiLevelType w:val="hybridMultilevel"/>
    <w:tmpl w:val="83FCE8E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D76776A"/>
    <w:multiLevelType w:val="hybridMultilevel"/>
    <w:tmpl w:val="EFC63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99212431">
    <w:abstractNumId w:val="0"/>
  </w:num>
  <w:num w:numId="2" w16cid:durableId="1711682435">
    <w:abstractNumId w:val="2"/>
  </w:num>
  <w:num w:numId="3" w16cid:durableId="1246839709">
    <w:abstractNumId w:val="5"/>
  </w:num>
  <w:num w:numId="4" w16cid:durableId="2088383681">
    <w:abstractNumId w:val="11"/>
  </w:num>
  <w:num w:numId="5" w16cid:durableId="40398952">
    <w:abstractNumId w:val="9"/>
  </w:num>
  <w:num w:numId="6" w16cid:durableId="1670937481">
    <w:abstractNumId w:val="6"/>
  </w:num>
  <w:num w:numId="7" w16cid:durableId="1225944645">
    <w:abstractNumId w:val="4"/>
  </w:num>
  <w:num w:numId="8" w16cid:durableId="2101442438">
    <w:abstractNumId w:val="1"/>
  </w:num>
  <w:num w:numId="9" w16cid:durableId="2003895560">
    <w:abstractNumId w:val="7"/>
  </w:num>
  <w:num w:numId="10" w16cid:durableId="61411107">
    <w:abstractNumId w:val="10"/>
  </w:num>
  <w:num w:numId="11" w16cid:durableId="150415459">
    <w:abstractNumId w:val="8"/>
  </w:num>
  <w:num w:numId="12" w16cid:durableId="959216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8D"/>
    <w:rsid w:val="0018343E"/>
    <w:rsid w:val="001E3808"/>
    <w:rsid w:val="002C1087"/>
    <w:rsid w:val="003A5D42"/>
    <w:rsid w:val="003D0DBF"/>
    <w:rsid w:val="003F26C1"/>
    <w:rsid w:val="00484CB2"/>
    <w:rsid w:val="004D0606"/>
    <w:rsid w:val="004E1AE9"/>
    <w:rsid w:val="0064416A"/>
    <w:rsid w:val="006628F0"/>
    <w:rsid w:val="006C4341"/>
    <w:rsid w:val="006F1BC6"/>
    <w:rsid w:val="00736749"/>
    <w:rsid w:val="007D7F95"/>
    <w:rsid w:val="007E0FCD"/>
    <w:rsid w:val="008A6D16"/>
    <w:rsid w:val="008B5D01"/>
    <w:rsid w:val="00975870"/>
    <w:rsid w:val="0099799C"/>
    <w:rsid w:val="009D739F"/>
    <w:rsid w:val="00AB6ED4"/>
    <w:rsid w:val="00B40D8D"/>
    <w:rsid w:val="00B4115B"/>
    <w:rsid w:val="00B87D91"/>
    <w:rsid w:val="00D44144"/>
    <w:rsid w:val="00D51629"/>
    <w:rsid w:val="00DC6D50"/>
    <w:rsid w:val="00DD4A61"/>
    <w:rsid w:val="00E24643"/>
    <w:rsid w:val="00F35E60"/>
    <w:rsid w:val="00F4147B"/>
    <w:rsid w:val="00FE69F2"/>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322B"/>
  <w15:chartTrackingRefBased/>
  <w15:docId w15:val="{9FB8F52E-4C1D-44B1-83A8-B0C91487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F2"/>
  </w:style>
  <w:style w:type="paragraph" w:styleId="Heading1">
    <w:name w:val="heading 1"/>
    <w:basedOn w:val="Normal"/>
    <w:link w:val="Heading1Char"/>
    <w:uiPriority w:val="9"/>
    <w:qFormat/>
    <w:rsid w:val="00B40D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40D8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40D8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D8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40D8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40D8D"/>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B40D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40D8D"/>
    <w:rPr>
      <w:b/>
      <w:bCs/>
    </w:rPr>
  </w:style>
  <w:style w:type="paragraph" w:styleId="BodyText">
    <w:name w:val="Body Text"/>
    <w:basedOn w:val="Normal"/>
    <w:link w:val="BodyTextChar"/>
    <w:uiPriority w:val="1"/>
    <w:qFormat/>
    <w:rsid w:val="00B40D8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40D8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40D8D"/>
    <w:pPr>
      <w:ind w:left="720"/>
      <w:contextualSpacing/>
    </w:pPr>
  </w:style>
  <w:style w:type="paragraph" w:styleId="BalloonText">
    <w:name w:val="Balloon Text"/>
    <w:basedOn w:val="Normal"/>
    <w:link w:val="BalloonTextChar"/>
    <w:uiPriority w:val="99"/>
    <w:semiHidden/>
    <w:unhideWhenUsed/>
    <w:rsid w:val="00662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8F0"/>
    <w:rPr>
      <w:rFonts w:ascii="Segoe UI" w:hAnsi="Segoe UI" w:cs="Segoe UI"/>
      <w:sz w:val="18"/>
      <w:szCs w:val="18"/>
    </w:rPr>
  </w:style>
  <w:style w:type="character" w:styleId="Hyperlink">
    <w:name w:val="Hyperlink"/>
    <w:basedOn w:val="DefaultParagraphFont"/>
    <w:uiPriority w:val="99"/>
    <w:unhideWhenUsed/>
    <w:rsid w:val="00975870"/>
    <w:rPr>
      <w:color w:val="0563C1" w:themeColor="hyperlink"/>
      <w:u w:val="single"/>
    </w:rPr>
  </w:style>
  <w:style w:type="character" w:styleId="Emphasis">
    <w:name w:val="Emphasis"/>
    <w:basedOn w:val="DefaultParagraphFont"/>
    <w:uiPriority w:val="20"/>
    <w:qFormat/>
    <w:rsid w:val="001E3808"/>
    <w:rPr>
      <w:i/>
      <w:iCs/>
    </w:rPr>
  </w:style>
  <w:style w:type="paragraph" w:styleId="Header">
    <w:name w:val="header"/>
    <w:basedOn w:val="Normal"/>
    <w:link w:val="HeaderChar"/>
    <w:uiPriority w:val="99"/>
    <w:unhideWhenUsed/>
    <w:rsid w:val="006F1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BC6"/>
  </w:style>
  <w:style w:type="paragraph" w:styleId="Footer">
    <w:name w:val="footer"/>
    <w:basedOn w:val="Normal"/>
    <w:link w:val="FooterChar"/>
    <w:uiPriority w:val="99"/>
    <w:unhideWhenUsed/>
    <w:rsid w:val="006F1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BC6"/>
  </w:style>
  <w:style w:type="paragraph" w:customStyle="1" w:styleId="Default">
    <w:name w:val="Default"/>
    <w:rsid w:val="006F1BC6"/>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UnresolvedMention1">
    <w:name w:val="Unresolved Mention1"/>
    <w:basedOn w:val="DefaultParagraphFont"/>
    <w:uiPriority w:val="99"/>
    <w:semiHidden/>
    <w:unhideWhenUsed/>
    <w:rsid w:val="0064416A"/>
    <w:rPr>
      <w:color w:val="605E5C"/>
      <w:shd w:val="clear" w:color="auto" w:fill="E1DFDD"/>
    </w:rPr>
  </w:style>
  <w:style w:type="table" w:styleId="TableGrid">
    <w:name w:val="Table Grid"/>
    <w:basedOn w:val="TableNormal"/>
    <w:uiPriority w:val="39"/>
    <w:rsid w:val="008B5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6885">
      <w:bodyDiv w:val="1"/>
      <w:marLeft w:val="0"/>
      <w:marRight w:val="0"/>
      <w:marTop w:val="0"/>
      <w:marBottom w:val="0"/>
      <w:divBdr>
        <w:top w:val="none" w:sz="0" w:space="0" w:color="auto"/>
        <w:left w:val="none" w:sz="0" w:space="0" w:color="auto"/>
        <w:bottom w:val="none" w:sz="0" w:space="0" w:color="auto"/>
        <w:right w:val="none" w:sz="0" w:space="0" w:color="auto"/>
      </w:divBdr>
    </w:div>
    <w:div w:id="322590698">
      <w:bodyDiv w:val="1"/>
      <w:marLeft w:val="0"/>
      <w:marRight w:val="0"/>
      <w:marTop w:val="0"/>
      <w:marBottom w:val="0"/>
      <w:divBdr>
        <w:top w:val="none" w:sz="0" w:space="0" w:color="auto"/>
        <w:left w:val="none" w:sz="0" w:space="0" w:color="auto"/>
        <w:bottom w:val="none" w:sz="0" w:space="0" w:color="auto"/>
        <w:right w:val="none" w:sz="0" w:space="0" w:color="auto"/>
      </w:divBdr>
    </w:div>
    <w:div w:id="1137457107">
      <w:bodyDiv w:val="1"/>
      <w:marLeft w:val="0"/>
      <w:marRight w:val="0"/>
      <w:marTop w:val="0"/>
      <w:marBottom w:val="0"/>
      <w:divBdr>
        <w:top w:val="none" w:sz="0" w:space="0" w:color="auto"/>
        <w:left w:val="none" w:sz="0" w:space="0" w:color="auto"/>
        <w:bottom w:val="none" w:sz="0" w:space="0" w:color="auto"/>
        <w:right w:val="none" w:sz="0" w:space="0" w:color="auto"/>
      </w:divBdr>
    </w:div>
    <w:div w:id="1528327558">
      <w:bodyDiv w:val="1"/>
      <w:marLeft w:val="0"/>
      <w:marRight w:val="0"/>
      <w:marTop w:val="0"/>
      <w:marBottom w:val="0"/>
      <w:divBdr>
        <w:top w:val="none" w:sz="0" w:space="0" w:color="auto"/>
        <w:left w:val="none" w:sz="0" w:space="0" w:color="auto"/>
        <w:bottom w:val="none" w:sz="0" w:space="0" w:color="auto"/>
        <w:right w:val="none" w:sz="0" w:space="0" w:color="auto"/>
      </w:divBdr>
    </w:div>
    <w:div w:id="2002583618">
      <w:bodyDiv w:val="1"/>
      <w:marLeft w:val="0"/>
      <w:marRight w:val="0"/>
      <w:marTop w:val="0"/>
      <w:marBottom w:val="0"/>
      <w:divBdr>
        <w:top w:val="none" w:sz="0" w:space="0" w:color="auto"/>
        <w:left w:val="none" w:sz="0" w:space="0" w:color="auto"/>
        <w:bottom w:val="none" w:sz="0" w:space="0" w:color="auto"/>
        <w:right w:val="none" w:sz="0" w:space="0" w:color="auto"/>
      </w:divBdr>
    </w:div>
    <w:div w:id="20442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586860" TargetMode="External"/><Relationship Id="rId13" Type="http://schemas.openxmlformats.org/officeDocument/2006/relationships/hyperlink" Target="http://www.ica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tthornton.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w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84FE-9B0B-40EF-829B-0B4EE0B9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18</cp:revision>
  <cp:lastPrinted>2025-10-23T05:46:00Z</cp:lastPrinted>
  <dcterms:created xsi:type="dcterms:W3CDTF">2025-10-23T05:28:00Z</dcterms:created>
  <dcterms:modified xsi:type="dcterms:W3CDTF">2025-12-05T06:16:00Z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2025-10-28T04:05:01Z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ea7001a9-c9eb-41a6-b171-f22d3e2d050d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