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FBF5E" w14:textId="14B46C89" w:rsidR="00ED31D9" w:rsidRPr="00FA13C3" w:rsidRDefault="00ED31D9" w:rsidP="00ED31D9">
      <w:pPr>
        <w:spacing w:after="0" w:line="160" w:lineRule="atLeast"/>
        <w:jc w:val="both"/>
        <w:rPr>
          <w:rFonts w:ascii="Arial" w:eastAsia="Arial" w:hAnsi="Arial" w:cs="Arial"/>
          <w:i/>
          <w:color w:val="000000"/>
          <w:spacing w:val="-1"/>
          <w:sz w:val="14"/>
          <w:szCs w:val="14"/>
        </w:rPr>
      </w:pPr>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Business and Management</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633C7F">
        <w:rPr>
          <w:rFonts w:ascii="Arial" w:eastAsia="Arial" w:hAnsi="Arial" w:cs="Arial"/>
          <w:i/>
          <w:color w:val="000000"/>
          <w:spacing w:val="-1"/>
          <w:sz w:val="14"/>
          <w:szCs w:val="14"/>
        </w:rPr>
        <w:t xml:space="preserve">                               </w:t>
      </w:r>
      <w:r w:rsidRPr="00812D87">
        <w:rPr>
          <w:rFonts w:ascii="Arial" w:eastAsia="Arial" w:hAnsi="Arial" w:cs="Arial"/>
          <w:i/>
          <w:color w:val="000000" w:themeColor="text1"/>
          <w:spacing w:val="-1"/>
          <w:sz w:val="14"/>
          <w:szCs w:val="14"/>
        </w:rPr>
        <w:t>ISSN:2227-1287</w:t>
      </w:r>
    </w:p>
    <w:p w14:paraId="556D5C47" w14:textId="15EA981D" w:rsidR="00ED31D9" w:rsidRDefault="00ED31D9" w:rsidP="00ED31D9">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Volume 13,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2</w:t>
      </w:r>
      <w:r w:rsidRPr="00DF2646">
        <w:rPr>
          <w:rFonts w:ascii="Arial" w:eastAsia="Arial" w:hAnsi="Arial" w:cs="Arial"/>
          <w:i/>
          <w:color w:val="000000"/>
          <w:spacing w:val="-1"/>
          <w:sz w:val="14"/>
          <w:szCs w:val="14"/>
        </w:rPr>
        <w:t xml:space="preserve">, </w:t>
      </w:r>
      <w:r w:rsidR="00633C7F">
        <w:rPr>
          <w:rFonts w:ascii="Arial" w:eastAsia="Arial" w:hAnsi="Arial" w:cs="Arial"/>
          <w:i/>
          <w:color w:val="000000"/>
          <w:spacing w:val="-1"/>
          <w:sz w:val="14"/>
          <w:szCs w:val="14"/>
        </w:rPr>
        <w:t>Dec</w:t>
      </w:r>
      <w:r>
        <w:rPr>
          <w:rFonts w:ascii="Arial" w:eastAsia="Arial" w:hAnsi="Arial" w:cs="Arial"/>
          <w:i/>
          <w:color w:val="000000"/>
          <w:spacing w:val="-1"/>
          <w:sz w:val="14"/>
          <w:szCs w:val="14"/>
        </w:rPr>
        <w:t>ember</w:t>
      </w:r>
      <w:r w:rsidRPr="00DF2646">
        <w:rPr>
          <w:rFonts w:ascii="Arial" w:eastAsia="Arial" w:hAnsi="Arial" w:cs="Arial"/>
          <w:i/>
          <w:color w:val="000000"/>
          <w:spacing w:val="-1"/>
          <w:sz w:val="14"/>
          <w:szCs w:val="14"/>
        </w:rPr>
        <w:t xml:space="preserve"> 2025</w:t>
      </w:r>
    </w:p>
    <w:p w14:paraId="63DA4369" w14:textId="1B776C3F" w:rsidR="00633C7F" w:rsidRPr="00FA13C3" w:rsidRDefault="00633C7F" w:rsidP="00ED31D9">
      <w:pPr>
        <w:spacing w:after="0" w:line="160" w:lineRule="atLeast"/>
        <w:jc w:val="both"/>
        <w:rPr>
          <w:rFonts w:ascii="Arial" w:eastAsia="Arial" w:hAnsi="Arial" w:cs="Arial"/>
          <w:i/>
          <w:color w:val="000000"/>
          <w:spacing w:val="-1"/>
          <w:sz w:val="14"/>
          <w:szCs w:val="14"/>
        </w:rPr>
      </w:pPr>
      <w:hyperlink r:id="rId8" w:tgtFrame="_blank" w:history="1">
        <w:r w:rsidRPr="00633C7F">
          <w:rPr>
            <w:rStyle w:val="Hyperlink"/>
            <w:rFonts w:ascii="Arial" w:eastAsia="Arial" w:hAnsi="Arial" w:cs="Arial"/>
            <w:i/>
            <w:spacing w:val="-1"/>
            <w:sz w:val="14"/>
            <w:szCs w:val="14"/>
          </w:rPr>
          <w:t>https://doi.org/10.5281/zenodo.17586932</w:t>
        </w:r>
      </w:hyperlink>
      <w:bookmarkStart w:id="0" w:name="_GoBack"/>
      <w:bookmarkEnd w:id="0"/>
    </w:p>
    <w:p w14:paraId="7CCEFBB4" w14:textId="77777777" w:rsidR="00F51056" w:rsidRDefault="00F51056" w:rsidP="00F51056">
      <w:pPr>
        <w:pStyle w:val="Heading1"/>
        <w:spacing w:before="0" w:line="240" w:lineRule="auto"/>
        <w:jc w:val="both"/>
        <w:rPr>
          <w:rFonts w:ascii="Times New Roman" w:hAnsi="Times New Roman" w:cs="Times New Roman"/>
          <w:color w:val="000000" w:themeColor="text1"/>
          <w:sz w:val="28"/>
          <w:szCs w:val="24"/>
        </w:rPr>
      </w:pPr>
    </w:p>
    <w:p w14:paraId="6F5ACE73" w14:textId="4D742C29" w:rsidR="000532FA" w:rsidRPr="00F51056" w:rsidRDefault="000532FA" w:rsidP="00F51056">
      <w:pPr>
        <w:pStyle w:val="Heading1"/>
        <w:spacing w:before="0" w:line="240" w:lineRule="auto"/>
        <w:jc w:val="center"/>
        <w:rPr>
          <w:rFonts w:ascii="Times New Roman" w:hAnsi="Times New Roman" w:cs="Times New Roman"/>
          <w:color w:val="000000" w:themeColor="text1"/>
          <w:szCs w:val="32"/>
        </w:rPr>
      </w:pPr>
      <w:r w:rsidRPr="00F51056">
        <w:rPr>
          <w:rFonts w:ascii="Times New Roman" w:hAnsi="Times New Roman" w:cs="Times New Roman"/>
          <w:color w:val="000000" w:themeColor="text1"/>
          <w:szCs w:val="32"/>
        </w:rPr>
        <w:t>Error-Free by Design: AI‑Enabled TDS Compliance at EY India</w:t>
      </w:r>
    </w:p>
    <w:p w14:paraId="23E69C17" w14:textId="77777777" w:rsidR="009D677D" w:rsidRDefault="009D677D" w:rsidP="00F51056">
      <w:pPr>
        <w:spacing w:after="0" w:line="240" w:lineRule="auto"/>
        <w:jc w:val="both"/>
        <w:rPr>
          <w:rFonts w:ascii="Times New Roman" w:eastAsia="Times New Roman" w:hAnsi="Times New Roman" w:cs="Times New Roman"/>
          <w:color w:val="000000"/>
          <w:sz w:val="24"/>
          <w:szCs w:val="24"/>
          <w:lang w:val="en-IN" w:eastAsia="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3870"/>
      </w:tblGrid>
      <w:tr w:rsidR="00F51056" w14:paraId="1DF46B41" w14:textId="77777777" w:rsidTr="00F51056">
        <w:trPr>
          <w:jc w:val="center"/>
        </w:trPr>
        <w:tc>
          <w:tcPr>
            <w:tcW w:w="3595" w:type="dxa"/>
          </w:tcPr>
          <w:p w14:paraId="6A3BE0BC" w14:textId="77777777" w:rsidR="00F51056" w:rsidRPr="00F51056" w:rsidRDefault="00F51056" w:rsidP="00F51056">
            <w:pPr>
              <w:jc w:val="center"/>
              <w:rPr>
                <w:rFonts w:ascii="Calibri" w:eastAsia="Times New Roman" w:hAnsi="Calibri" w:cs="Calibri"/>
                <w:b/>
                <w:bCs/>
                <w:i/>
                <w:iCs/>
                <w:color w:val="000000"/>
                <w:sz w:val="16"/>
                <w:szCs w:val="16"/>
                <w:lang w:val="en-IN" w:eastAsia="en-IN"/>
              </w:rPr>
            </w:pPr>
            <w:r w:rsidRPr="00F51056">
              <w:rPr>
                <w:rFonts w:ascii="Calibri" w:eastAsia="Times New Roman" w:hAnsi="Calibri" w:cs="Calibri"/>
                <w:b/>
                <w:bCs/>
                <w:i/>
                <w:iCs/>
                <w:color w:val="000000"/>
                <w:sz w:val="16"/>
                <w:szCs w:val="16"/>
                <w:lang w:val="en-IN" w:eastAsia="en-IN"/>
              </w:rPr>
              <w:t>Mithil Udupa</w:t>
            </w:r>
          </w:p>
          <w:p w14:paraId="162976B3" w14:textId="678D9811" w:rsidR="00F51056" w:rsidRPr="00F51056" w:rsidRDefault="00F51056" w:rsidP="00F51056">
            <w:pPr>
              <w:jc w:val="center"/>
              <w:rPr>
                <w:rFonts w:ascii="Calibri" w:eastAsia="Times New Roman" w:hAnsi="Calibri" w:cs="Calibri"/>
                <w:color w:val="000000"/>
                <w:sz w:val="16"/>
                <w:szCs w:val="16"/>
                <w:lang w:val="en-IN" w:eastAsia="en-IN"/>
              </w:rPr>
            </w:pPr>
            <w:r w:rsidRPr="00F51056">
              <w:rPr>
                <w:rFonts w:ascii="Calibri" w:eastAsia="Times New Roman" w:hAnsi="Calibri" w:cs="Calibri"/>
                <w:color w:val="000000"/>
                <w:sz w:val="16"/>
                <w:szCs w:val="16"/>
                <w:lang w:val="en-IN" w:eastAsia="en-IN"/>
              </w:rPr>
              <w:t xml:space="preserve">MBA Student, Faculty of Management Studies, </w:t>
            </w:r>
            <w:r>
              <w:rPr>
                <w:rFonts w:ascii="Calibri" w:eastAsia="Times New Roman" w:hAnsi="Calibri" w:cs="Calibri"/>
                <w:color w:val="000000"/>
                <w:sz w:val="16"/>
                <w:szCs w:val="16"/>
                <w:lang w:val="en-IN" w:eastAsia="en-IN"/>
              </w:rPr>
              <w:br/>
            </w:r>
            <w:r w:rsidRPr="00F51056">
              <w:rPr>
                <w:rFonts w:ascii="Calibri" w:eastAsia="Times New Roman" w:hAnsi="Calibri" w:cs="Calibri"/>
                <w:color w:val="000000"/>
                <w:sz w:val="16"/>
                <w:szCs w:val="16"/>
                <w:lang w:val="en-IN" w:eastAsia="en-IN"/>
              </w:rPr>
              <w:t>CMS Business School</w:t>
            </w:r>
          </w:p>
          <w:p w14:paraId="56A45864" w14:textId="489009BF" w:rsidR="00F51056" w:rsidRPr="00F51056" w:rsidRDefault="00F51056" w:rsidP="00F51056">
            <w:pPr>
              <w:jc w:val="center"/>
              <w:rPr>
                <w:rFonts w:ascii="Calibri" w:eastAsia="Times New Roman" w:hAnsi="Calibri" w:cs="Calibri"/>
                <w:color w:val="000000"/>
                <w:sz w:val="16"/>
                <w:szCs w:val="16"/>
                <w:lang w:val="en-IN" w:eastAsia="en-IN"/>
              </w:rPr>
            </w:pPr>
            <w:r w:rsidRPr="00F51056">
              <w:rPr>
                <w:rFonts w:ascii="Calibri" w:eastAsia="Times New Roman" w:hAnsi="Calibri" w:cs="Calibri"/>
                <w:color w:val="000000"/>
                <w:sz w:val="16"/>
                <w:szCs w:val="16"/>
                <w:lang w:val="en-IN" w:eastAsia="en-IN"/>
              </w:rPr>
              <w:t>JAIN (Deemed-to-be University), Bangalore.</w:t>
            </w:r>
          </w:p>
        </w:tc>
        <w:tc>
          <w:tcPr>
            <w:tcW w:w="3870" w:type="dxa"/>
          </w:tcPr>
          <w:p w14:paraId="00959014" w14:textId="79690A06" w:rsidR="00F51056" w:rsidRPr="00F51056" w:rsidRDefault="00F51056" w:rsidP="00F51056">
            <w:pPr>
              <w:jc w:val="center"/>
              <w:rPr>
                <w:rFonts w:ascii="Calibri" w:eastAsia="Times New Roman" w:hAnsi="Calibri" w:cs="Calibri"/>
                <w:b/>
                <w:bCs/>
                <w:i/>
                <w:iCs/>
                <w:color w:val="000000"/>
                <w:sz w:val="16"/>
                <w:szCs w:val="16"/>
                <w:lang w:val="en-IN" w:eastAsia="en-IN"/>
              </w:rPr>
            </w:pPr>
            <w:r w:rsidRPr="00F51056">
              <w:rPr>
                <w:rFonts w:ascii="Calibri" w:eastAsia="Times New Roman" w:hAnsi="Calibri" w:cs="Calibri"/>
                <w:b/>
                <w:bCs/>
                <w:i/>
                <w:iCs/>
                <w:color w:val="000000"/>
                <w:sz w:val="16"/>
                <w:szCs w:val="16"/>
                <w:lang w:val="en-IN" w:eastAsia="en-IN"/>
              </w:rPr>
              <w:t>Dr.</w:t>
            </w:r>
            <w:r w:rsidR="00B4315B">
              <w:rPr>
                <w:rFonts w:ascii="Calibri" w:eastAsia="Times New Roman" w:hAnsi="Calibri" w:cs="Calibri"/>
                <w:b/>
                <w:bCs/>
                <w:i/>
                <w:iCs/>
                <w:color w:val="000000"/>
                <w:sz w:val="16"/>
                <w:szCs w:val="16"/>
                <w:lang w:val="en-IN" w:eastAsia="en-IN"/>
              </w:rPr>
              <w:t xml:space="preserve"> </w:t>
            </w:r>
            <w:r w:rsidRPr="00F51056">
              <w:rPr>
                <w:rFonts w:ascii="Calibri" w:eastAsia="Times New Roman" w:hAnsi="Calibri" w:cs="Calibri"/>
                <w:b/>
                <w:bCs/>
                <w:i/>
                <w:iCs/>
                <w:color w:val="000000"/>
                <w:sz w:val="16"/>
                <w:szCs w:val="16"/>
                <w:lang w:val="en-IN" w:eastAsia="en-IN"/>
              </w:rPr>
              <w:t>M.</w:t>
            </w:r>
            <w:r w:rsidR="00B4315B">
              <w:rPr>
                <w:rFonts w:ascii="Calibri" w:eastAsia="Times New Roman" w:hAnsi="Calibri" w:cs="Calibri"/>
                <w:b/>
                <w:bCs/>
                <w:i/>
                <w:iCs/>
                <w:color w:val="000000"/>
                <w:sz w:val="16"/>
                <w:szCs w:val="16"/>
                <w:lang w:val="en-IN" w:eastAsia="en-IN"/>
              </w:rPr>
              <w:t xml:space="preserve"> </w:t>
            </w:r>
            <w:r w:rsidRPr="00F51056">
              <w:rPr>
                <w:rFonts w:ascii="Calibri" w:eastAsia="Times New Roman" w:hAnsi="Calibri" w:cs="Calibri"/>
                <w:b/>
                <w:bCs/>
                <w:i/>
                <w:iCs/>
                <w:color w:val="000000"/>
                <w:sz w:val="16"/>
                <w:szCs w:val="16"/>
                <w:lang w:val="en-IN" w:eastAsia="en-IN"/>
              </w:rPr>
              <w:t xml:space="preserve">K. </w:t>
            </w:r>
            <w:r w:rsidR="00B4315B" w:rsidRPr="00F51056">
              <w:rPr>
                <w:rFonts w:ascii="Calibri" w:eastAsia="Times New Roman" w:hAnsi="Calibri" w:cs="Calibri"/>
                <w:b/>
                <w:bCs/>
                <w:i/>
                <w:iCs/>
                <w:color w:val="000000"/>
                <w:sz w:val="16"/>
                <w:szCs w:val="16"/>
                <w:lang w:val="en-IN" w:eastAsia="en-IN"/>
              </w:rPr>
              <w:t>Lodi</w:t>
            </w:r>
          </w:p>
          <w:p w14:paraId="04C512B4" w14:textId="3E0FB7A4" w:rsidR="00F51056" w:rsidRPr="00F51056" w:rsidRDefault="00F51056" w:rsidP="00F51056">
            <w:pPr>
              <w:jc w:val="center"/>
              <w:rPr>
                <w:rFonts w:ascii="Calibri" w:eastAsia="Times New Roman" w:hAnsi="Calibri" w:cs="Calibri"/>
                <w:color w:val="000000"/>
                <w:sz w:val="16"/>
                <w:szCs w:val="16"/>
                <w:lang w:val="en-IN" w:eastAsia="en-IN"/>
              </w:rPr>
            </w:pPr>
            <w:r w:rsidRPr="00F51056">
              <w:rPr>
                <w:rFonts w:ascii="Calibri" w:eastAsia="Times New Roman" w:hAnsi="Calibri" w:cs="Calibri"/>
                <w:color w:val="000000"/>
                <w:sz w:val="16"/>
                <w:szCs w:val="16"/>
                <w:lang w:val="en-IN" w:eastAsia="en-IN"/>
              </w:rPr>
              <w:t xml:space="preserve">Adjunct Professor, Faculty of Management Studies, </w:t>
            </w:r>
            <w:r>
              <w:rPr>
                <w:rFonts w:ascii="Calibri" w:eastAsia="Times New Roman" w:hAnsi="Calibri" w:cs="Calibri"/>
                <w:color w:val="000000"/>
                <w:sz w:val="16"/>
                <w:szCs w:val="16"/>
                <w:lang w:val="en-IN" w:eastAsia="en-IN"/>
              </w:rPr>
              <w:br/>
            </w:r>
            <w:r w:rsidRPr="00F51056">
              <w:rPr>
                <w:rFonts w:ascii="Calibri" w:eastAsia="Times New Roman" w:hAnsi="Calibri" w:cs="Calibri"/>
                <w:color w:val="000000"/>
                <w:sz w:val="16"/>
                <w:szCs w:val="16"/>
                <w:lang w:val="en-IN" w:eastAsia="en-IN"/>
              </w:rPr>
              <w:t>CMS Business School</w:t>
            </w:r>
          </w:p>
          <w:p w14:paraId="79DFE8D7" w14:textId="4D4B9485" w:rsidR="00F51056" w:rsidRPr="00F51056" w:rsidRDefault="00F51056" w:rsidP="00F51056">
            <w:pPr>
              <w:jc w:val="center"/>
              <w:rPr>
                <w:rFonts w:ascii="Calibri" w:eastAsia="Times New Roman" w:hAnsi="Calibri" w:cs="Calibri"/>
                <w:b/>
                <w:bCs/>
                <w:color w:val="000000"/>
                <w:sz w:val="16"/>
                <w:szCs w:val="16"/>
                <w:lang w:eastAsia="en-IN"/>
              </w:rPr>
            </w:pPr>
            <w:r w:rsidRPr="00F51056">
              <w:rPr>
                <w:rFonts w:ascii="Calibri" w:eastAsia="Times New Roman" w:hAnsi="Calibri" w:cs="Calibri"/>
                <w:color w:val="000000"/>
                <w:sz w:val="16"/>
                <w:szCs w:val="16"/>
                <w:lang w:val="en-IN" w:eastAsia="en-IN"/>
              </w:rPr>
              <w:t>JAIN (Deemed-to-be University), Bangalore</w:t>
            </w:r>
          </w:p>
        </w:tc>
      </w:tr>
    </w:tbl>
    <w:p w14:paraId="3E7B2698" w14:textId="77777777" w:rsidR="00F51056" w:rsidRDefault="00F51056" w:rsidP="00F51056">
      <w:pPr>
        <w:spacing w:after="0" w:line="240" w:lineRule="auto"/>
        <w:jc w:val="both"/>
        <w:rPr>
          <w:rFonts w:ascii="Times New Roman" w:eastAsia="Times New Roman" w:hAnsi="Times New Roman" w:cs="Times New Roman"/>
          <w:b/>
          <w:bCs/>
          <w:color w:val="000000"/>
          <w:sz w:val="24"/>
          <w:szCs w:val="24"/>
          <w:lang w:val="en-IN" w:eastAsia="en-IN"/>
        </w:rPr>
      </w:pPr>
    </w:p>
    <w:p w14:paraId="09AEF91B" w14:textId="77777777" w:rsidR="00840A68" w:rsidRPr="00F51056" w:rsidRDefault="000532FA" w:rsidP="00F51056">
      <w:pPr>
        <w:pStyle w:val="Heading1"/>
        <w:spacing w:before="0" w:line="240" w:lineRule="auto"/>
        <w:ind w:left="720" w:right="389"/>
        <w:jc w:val="center"/>
        <w:rPr>
          <w:rFonts w:ascii="Arial" w:hAnsi="Arial" w:cs="Arial"/>
          <w:i/>
          <w:iCs/>
          <w:color w:val="000000" w:themeColor="text1"/>
          <w:sz w:val="18"/>
          <w:szCs w:val="18"/>
        </w:rPr>
      </w:pPr>
      <w:r w:rsidRPr="00F51056">
        <w:rPr>
          <w:rFonts w:ascii="Arial" w:hAnsi="Arial" w:cs="Arial"/>
          <w:i/>
          <w:iCs/>
          <w:color w:val="000000" w:themeColor="text1"/>
          <w:sz w:val="18"/>
          <w:szCs w:val="18"/>
        </w:rPr>
        <w:t>Abstract</w:t>
      </w:r>
    </w:p>
    <w:p w14:paraId="189746DF" w14:textId="77777777" w:rsidR="000532FA" w:rsidRPr="00F51056" w:rsidRDefault="000532FA" w:rsidP="00F51056">
      <w:pPr>
        <w:spacing w:after="0" w:line="240" w:lineRule="auto"/>
        <w:ind w:left="720" w:right="389"/>
        <w:jc w:val="both"/>
        <w:rPr>
          <w:rFonts w:ascii="Arial" w:hAnsi="Arial" w:cs="Arial"/>
          <w:sz w:val="18"/>
          <w:szCs w:val="18"/>
        </w:rPr>
      </w:pPr>
    </w:p>
    <w:p w14:paraId="7DA8018B" w14:textId="77777777" w:rsidR="009D677D" w:rsidRDefault="009D677D" w:rsidP="00F51056">
      <w:pPr>
        <w:pStyle w:val="Body"/>
        <w:spacing w:after="0" w:line="240" w:lineRule="auto"/>
        <w:ind w:left="720" w:right="389"/>
        <w:jc w:val="both"/>
        <w:rPr>
          <w:rFonts w:ascii="Arial" w:hAnsi="Arial" w:cs="Arial"/>
          <w:color w:val="000000" w:themeColor="text1"/>
          <w:sz w:val="18"/>
          <w:szCs w:val="18"/>
        </w:rPr>
      </w:pPr>
      <w:r w:rsidRPr="00F51056">
        <w:rPr>
          <w:rFonts w:ascii="Arial" w:hAnsi="Arial" w:cs="Arial"/>
          <w:color w:val="000000" w:themeColor="text1"/>
          <w:sz w:val="18"/>
          <w:szCs w:val="18"/>
        </w:rPr>
        <w:t>The Global Compliance and Reporting Direct Tax team at EY India worked with a mid-sized multinational company that processes more than 2,500 vendor payments each quarter, about 84% of which are subject to withholding. A manual pre-check found that six percent of the time there was an error. PANs that don't match challan errors, wrong classification of sections, and duplicates that are dangerous Form 26Q trust in the vendor and being on time The choice is how to plan a 90-day redesign that uses AI to automate validation and reconciliation through RPU OLTAS integration, shows anomalies on dashboards, and adds exception governance without slowing down throughput. The exhibit pack has a section on baseline error rates, a section on section-wise distributions, a section on detection time and escalation aging, and a section on section-wise distributions. You can choose from a minimal validation stack, a TDS Exception Probability Score control as a checklist, or targeted client training. The goal of learning is to find mistakes that can be avoided. Figure out how much money automation design governance will save on judgment calls and make a plan for a staged rollout. The unresolved tension affects both model and change.</w:t>
      </w:r>
    </w:p>
    <w:p w14:paraId="3FE33FCB" w14:textId="77777777" w:rsidR="00F51056" w:rsidRPr="00F51056" w:rsidRDefault="00F51056" w:rsidP="00F51056">
      <w:pPr>
        <w:pStyle w:val="Body"/>
        <w:spacing w:after="0" w:line="240" w:lineRule="auto"/>
        <w:ind w:left="720" w:right="389"/>
        <w:jc w:val="both"/>
        <w:rPr>
          <w:rFonts w:ascii="Arial" w:hAnsi="Arial" w:cs="Arial"/>
          <w:color w:val="000000" w:themeColor="text1"/>
          <w:sz w:val="18"/>
          <w:szCs w:val="18"/>
        </w:rPr>
      </w:pPr>
    </w:p>
    <w:p w14:paraId="09D41414" w14:textId="13675156" w:rsidR="00840A68" w:rsidRPr="00F51056" w:rsidRDefault="000532FA" w:rsidP="00F51056">
      <w:pPr>
        <w:pStyle w:val="Body"/>
        <w:spacing w:after="0" w:line="240" w:lineRule="auto"/>
        <w:ind w:left="720" w:right="389"/>
        <w:jc w:val="both"/>
        <w:rPr>
          <w:rFonts w:ascii="Arial" w:hAnsi="Arial" w:cs="Arial"/>
          <w:color w:val="000000" w:themeColor="text1"/>
          <w:sz w:val="18"/>
          <w:szCs w:val="18"/>
        </w:rPr>
      </w:pPr>
      <w:r w:rsidRPr="00F51056">
        <w:rPr>
          <w:rFonts w:ascii="Arial" w:hAnsi="Arial" w:cs="Arial"/>
          <w:b/>
          <w:color w:val="000000" w:themeColor="text1"/>
          <w:sz w:val="18"/>
          <w:szCs w:val="18"/>
        </w:rPr>
        <w:t>Keywords:</w:t>
      </w:r>
      <w:r w:rsidRPr="00F51056">
        <w:rPr>
          <w:rFonts w:ascii="Arial" w:hAnsi="Arial" w:cs="Arial"/>
          <w:color w:val="000000" w:themeColor="text1"/>
          <w:sz w:val="18"/>
          <w:szCs w:val="18"/>
        </w:rPr>
        <w:t xml:space="preserve"> TDS compliance, PAN and challan validation, Section classification, Automation and dashboards, Exception governance</w:t>
      </w:r>
    </w:p>
    <w:p w14:paraId="50417B7E" w14:textId="77777777" w:rsidR="00F51056" w:rsidRPr="000532FA" w:rsidRDefault="00F51056" w:rsidP="00F51056">
      <w:pPr>
        <w:pStyle w:val="Body"/>
        <w:spacing w:after="0" w:line="240" w:lineRule="auto"/>
        <w:jc w:val="both"/>
        <w:rPr>
          <w:rFonts w:ascii="Times New Roman" w:hAnsi="Times New Roman" w:cs="Times New Roman"/>
          <w:color w:val="000000" w:themeColor="text1"/>
          <w:sz w:val="24"/>
          <w:szCs w:val="24"/>
        </w:rPr>
      </w:pPr>
    </w:p>
    <w:p w14:paraId="2133616F" w14:textId="77777777" w:rsidR="00F51056" w:rsidRDefault="00F51056" w:rsidP="00F51056">
      <w:pPr>
        <w:pStyle w:val="Heading1"/>
        <w:spacing w:before="0" w:after="120"/>
        <w:jc w:val="both"/>
        <w:rPr>
          <w:rFonts w:ascii="Arial" w:hAnsi="Arial" w:cs="Arial"/>
          <w:color w:val="000000" w:themeColor="text1"/>
          <w:sz w:val="22"/>
          <w:szCs w:val="22"/>
        </w:rPr>
        <w:sectPr w:rsidR="00F51056" w:rsidSect="0092410D">
          <w:headerReference w:type="even" r:id="rId9"/>
          <w:headerReference w:type="default" r:id="rId10"/>
          <w:pgSz w:w="11909" w:h="16834" w:code="9"/>
          <w:pgMar w:top="1440" w:right="1440" w:bottom="1440" w:left="1440" w:header="1008" w:footer="720" w:gutter="0"/>
          <w:pgNumType w:start="8"/>
          <w:cols w:space="720"/>
          <w:docGrid w:linePitch="360"/>
        </w:sectPr>
      </w:pPr>
    </w:p>
    <w:p w14:paraId="2812FB64" w14:textId="77777777" w:rsidR="00840A68" w:rsidRPr="00F51056" w:rsidRDefault="000532FA" w:rsidP="00F51056">
      <w:pPr>
        <w:pStyle w:val="Heading1"/>
        <w:spacing w:before="0" w:after="120"/>
        <w:jc w:val="center"/>
        <w:rPr>
          <w:rFonts w:ascii="Arial" w:hAnsi="Arial" w:cs="Arial"/>
          <w:caps/>
          <w:color w:val="000000" w:themeColor="text1"/>
          <w:sz w:val="22"/>
          <w:szCs w:val="22"/>
        </w:rPr>
      </w:pPr>
      <w:r w:rsidRPr="00F51056">
        <w:rPr>
          <w:rFonts w:ascii="Arial" w:hAnsi="Arial" w:cs="Arial"/>
          <w:caps/>
          <w:color w:val="000000" w:themeColor="text1"/>
          <w:sz w:val="22"/>
          <w:szCs w:val="22"/>
        </w:rPr>
        <w:lastRenderedPageBreak/>
        <w:t>Case Introduction</w:t>
      </w:r>
    </w:p>
    <w:p w14:paraId="4EFDC1FC" w14:textId="77777777" w:rsidR="00F51056" w:rsidRPr="00F51056" w:rsidRDefault="00F51056" w:rsidP="00F51056">
      <w:pPr>
        <w:spacing w:after="120"/>
        <w:ind w:firstLine="720"/>
        <w:jc w:val="both"/>
        <w:rPr>
          <w:rFonts w:ascii="Arial" w:hAnsi="Arial" w:cs="Arial"/>
        </w:rPr>
      </w:pPr>
      <w:r w:rsidRPr="00F51056">
        <w:rPr>
          <w:rFonts w:ascii="Arial" w:hAnsi="Arial" w:cs="Arial"/>
        </w:rPr>
        <w:t xml:space="preserve">Tax taken out at the source TDS is a key part of India's direct tax system, but big payers have to deal with even more problems because of overlapping sections, quarterly deadlines, and data spread across multiple systems. In high-volume environments, quality relies on accuracy, timeliness, completeness, and consistency—dimensions that render data reliable for operational decisions. Wang Strong 1996 As organizations grow, deterministic steps can be reliably automated, allowing experts to concentrate on judgment and exception handling. However, the RPA literature warns that automation should come after process simplification, not before it speeds up flawed tasks. Willcocks </w:t>
      </w:r>
      <w:proofErr w:type="spellStart"/>
      <w:r w:rsidRPr="00F51056">
        <w:rPr>
          <w:rFonts w:ascii="Arial" w:hAnsi="Arial" w:cs="Arial"/>
        </w:rPr>
        <w:t>Lacity</w:t>
      </w:r>
      <w:proofErr w:type="spellEnd"/>
      <w:r w:rsidRPr="00F51056">
        <w:rPr>
          <w:rFonts w:ascii="Arial" w:hAnsi="Arial" w:cs="Arial"/>
        </w:rPr>
        <w:t xml:space="preserve"> 2016 When flows are unclear, process mining turns event logs into proof of bottlenecks, rework loops, and nonconformance. This makes it possible to objectively order fixes. Jans Alles Vasarhelyi van der Aalst 2014 2016 For exception triage, interpretable models </w:t>
      </w:r>
      <w:r w:rsidRPr="00F51056">
        <w:rPr>
          <w:rFonts w:ascii="Arial" w:hAnsi="Arial" w:cs="Arial"/>
        </w:rPr>
        <w:lastRenderedPageBreak/>
        <w:t xml:space="preserve">are better for high-stakes compliance because they allow for review calibration and auditability without a black box. not clear Rudin 2019 The EY India case is about a mid-sized multinational company that makes more than 2,500 vendor payments every quarter. About 84% of these payments need to be withheld under sections 194C, 194J, 194Q, 195, and 194A. A manual pre-screen showed a six percent error rate, which included PAN mismatches, incorrect challans, section misclassification, and duplicates. EY set up an automation stack that worked with the Return Preparation Utility (RPU) and OLTAS Power BI dashboards for vendor section drill downs, structured exception escalation for judgment calls, and standardized checklists with client training. The hybrid method cut the time it took to find errors by about 40%, lowered the error rate to 1.5%, and made sure that errors were found on time. Filing Form 26Q and being free for about 24 hours every three months to do advisory work Students need </w:t>
      </w:r>
      <w:r w:rsidRPr="00F51056">
        <w:rPr>
          <w:rFonts w:ascii="Arial" w:hAnsi="Arial" w:cs="Arial"/>
        </w:rPr>
        <w:lastRenderedPageBreak/>
        <w:t>to use the exhibits to set a baseline for risk and workload. Analyze the design of automation and governance levers, create a plan for a ninety-day rollout, and suggest a long-lasting data governance layer that benefits related processes. The managers have to figure out how to balance speed, interpretability, and governance so that the benefits last after the pilots are over. Khatri Brown 2010.</w:t>
      </w:r>
    </w:p>
    <w:p w14:paraId="7807ADF2" w14:textId="77777777" w:rsidR="00F51056" w:rsidRPr="00F51056" w:rsidRDefault="00F51056" w:rsidP="00F51056">
      <w:pPr>
        <w:spacing w:after="120"/>
        <w:jc w:val="both"/>
        <w:rPr>
          <w:rFonts w:ascii="Arial" w:hAnsi="Arial" w:cs="Arial"/>
          <w:b/>
          <w:bCs/>
        </w:rPr>
      </w:pPr>
      <w:r w:rsidRPr="00F51056">
        <w:rPr>
          <w:rFonts w:ascii="Arial" w:hAnsi="Arial" w:cs="Arial"/>
          <w:b/>
          <w:bCs/>
        </w:rPr>
        <w:t xml:space="preserve">About TDS Compliance Services industry </w:t>
      </w:r>
    </w:p>
    <w:p w14:paraId="45B551C1" w14:textId="77777777" w:rsidR="00F51056" w:rsidRPr="00F51056" w:rsidRDefault="00F51056" w:rsidP="00F51056">
      <w:pPr>
        <w:spacing w:after="120"/>
        <w:ind w:firstLine="720"/>
        <w:jc w:val="both"/>
        <w:rPr>
          <w:rFonts w:ascii="Arial" w:hAnsi="Arial" w:cs="Arial"/>
        </w:rPr>
      </w:pPr>
      <w:r w:rsidRPr="00F51056">
        <w:rPr>
          <w:rFonts w:ascii="Arial" w:hAnsi="Arial" w:cs="Arial"/>
        </w:rPr>
        <w:t xml:space="preserve">Industry India Direct Tax </w:t>
      </w:r>
      <w:proofErr w:type="gramStart"/>
      <w:r w:rsidRPr="00F51056">
        <w:rPr>
          <w:rFonts w:ascii="Arial" w:hAnsi="Arial" w:cs="Arial"/>
        </w:rPr>
        <w:t>Withholding  Services</w:t>
      </w:r>
      <w:proofErr w:type="gramEnd"/>
      <w:r w:rsidRPr="00F51056">
        <w:rPr>
          <w:rFonts w:ascii="Arial" w:hAnsi="Arial" w:cs="Arial"/>
        </w:rPr>
        <w:t xml:space="preserve"> for TDS Compliance  The landscape combines legal complexity with operational scale.  Businesses need to sort payments into different groups.  check PANs and challans and file quarterly returns in short time </w:t>
      </w:r>
      <w:proofErr w:type="gramStart"/>
      <w:r w:rsidRPr="00F51056">
        <w:rPr>
          <w:rFonts w:ascii="Arial" w:hAnsi="Arial" w:cs="Arial"/>
        </w:rPr>
        <w:t>frames  Fragmented</w:t>
      </w:r>
      <w:proofErr w:type="gramEnd"/>
      <w:r w:rsidRPr="00F51056">
        <w:rPr>
          <w:rFonts w:ascii="Arial" w:hAnsi="Arial" w:cs="Arial"/>
        </w:rPr>
        <w:t xml:space="preserve"> ERPs and manual handoffs make it more likely that work will need to be redone and that penalties will be imposed.  In compliance work that requires a lot of information, data governance sets clear rules for who makes decisions and with what tools.  Improve data fitness for </w:t>
      </w:r>
      <w:proofErr w:type="gramStart"/>
      <w:r w:rsidRPr="00F51056">
        <w:rPr>
          <w:rFonts w:ascii="Arial" w:hAnsi="Arial" w:cs="Arial"/>
        </w:rPr>
        <w:t>purpose  Khatri</w:t>
      </w:r>
      <w:proofErr w:type="gramEnd"/>
      <w:r w:rsidRPr="00F51056">
        <w:rPr>
          <w:rFonts w:ascii="Arial" w:hAnsi="Arial" w:cs="Arial"/>
        </w:rPr>
        <w:t xml:space="preserve"> Brown  Studies on process mining from 2010 show that analyzing event logs can reveal hidden rework and non-conformance, which can then be used to automate and control specific processes.  Jans Alles </w:t>
      </w:r>
      <w:proofErr w:type="gramStart"/>
      <w:r w:rsidRPr="00F51056">
        <w:rPr>
          <w:rFonts w:ascii="Arial" w:hAnsi="Arial" w:cs="Arial"/>
        </w:rPr>
        <w:t>Vasarhelyi  van</w:t>
      </w:r>
      <w:proofErr w:type="gramEnd"/>
      <w:r w:rsidRPr="00F51056">
        <w:rPr>
          <w:rFonts w:ascii="Arial" w:hAnsi="Arial" w:cs="Arial"/>
        </w:rPr>
        <w:t xml:space="preserve"> der Aalst 2014  2016  Empirical research in accounting and auditing posits that analytics and automation yield optimal results when integrated with restructured controls and ongoing assurance mechanisms.  </w:t>
      </w:r>
      <w:proofErr w:type="spellStart"/>
      <w:r w:rsidRPr="00F51056">
        <w:rPr>
          <w:rFonts w:ascii="Arial" w:hAnsi="Arial" w:cs="Arial"/>
        </w:rPr>
        <w:t>Vasarhelyi</w:t>
      </w:r>
      <w:proofErr w:type="spellEnd"/>
      <w:r w:rsidRPr="00F51056">
        <w:rPr>
          <w:rFonts w:ascii="Arial" w:hAnsi="Arial" w:cs="Arial"/>
        </w:rPr>
        <w:t xml:space="preserve"> </w:t>
      </w:r>
      <w:proofErr w:type="spellStart"/>
      <w:r w:rsidRPr="00F51056">
        <w:rPr>
          <w:rFonts w:ascii="Arial" w:hAnsi="Arial" w:cs="Arial"/>
        </w:rPr>
        <w:t>Kogan</w:t>
      </w:r>
      <w:proofErr w:type="spellEnd"/>
      <w:r w:rsidRPr="00F51056">
        <w:rPr>
          <w:rFonts w:ascii="Arial" w:hAnsi="Arial" w:cs="Arial"/>
        </w:rPr>
        <w:t xml:space="preserve"> </w:t>
      </w:r>
      <w:proofErr w:type="gramStart"/>
      <w:r w:rsidRPr="00F51056">
        <w:rPr>
          <w:rFonts w:ascii="Arial" w:hAnsi="Arial" w:cs="Arial"/>
        </w:rPr>
        <w:t>Tuttle  The</w:t>
      </w:r>
      <w:proofErr w:type="gramEnd"/>
      <w:r w:rsidRPr="00F51056">
        <w:rPr>
          <w:rFonts w:ascii="Arial" w:hAnsi="Arial" w:cs="Arial"/>
        </w:rPr>
        <w:t xml:space="preserve"> 2015 RPA scholarship talks about the benefits of deterministic rules-based steps, but it also warns against scaling without change management and making sure that the process is in line with reality.  Willcocks </w:t>
      </w:r>
      <w:proofErr w:type="spellStart"/>
      <w:proofErr w:type="gramStart"/>
      <w:r w:rsidRPr="00F51056">
        <w:rPr>
          <w:rFonts w:ascii="Arial" w:hAnsi="Arial" w:cs="Arial"/>
        </w:rPr>
        <w:t>Lacity</w:t>
      </w:r>
      <w:proofErr w:type="spellEnd"/>
      <w:r w:rsidRPr="00F51056">
        <w:rPr>
          <w:rFonts w:ascii="Arial" w:hAnsi="Arial" w:cs="Arial"/>
        </w:rPr>
        <w:t xml:space="preserve">  2016</w:t>
      </w:r>
      <w:proofErr w:type="gramEnd"/>
      <w:r w:rsidRPr="00F51056">
        <w:rPr>
          <w:rFonts w:ascii="Arial" w:hAnsi="Arial" w:cs="Arial"/>
        </w:rPr>
        <w:t xml:space="preserve">  For high-stakes decisions, human-AI interaction guidance suggests calibrated confidence, transparent provenance, and graceful failure to </w:t>
      </w:r>
      <w:r w:rsidRPr="00F51056">
        <w:rPr>
          <w:rFonts w:ascii="Arial" w:hAnsi="Arial" w:cs="Arial"/>
        </w:rPr>
        <w:lastRenderedPageBreak/>
        <w:t xml:space="preserve">maintain user trust.  </w:t>
      </w:r>
      <w:proofErr w:type="spellStart"/>
      <w:r w:rsidRPr="00F51056">
        <w:rPr>
          <w:rFonts w:ascii="Arial" w:hAnsi="Arial" w:cs="Arial"/>
        </w:rPr>
        <w:t>Amershi</w:t>
      </w:r>
      <w:proofErr w:type="spellEnd"/>
      <w:r w:rsidRPr="00F51056">
        <w:rPr>
          <w:rFonts w:ascii="Arial" w:hAnsi="Arial" w:cs="Arial"/>
        </w:rPr>
        <w:t xml:space="preserve"> et al.  </w:t>
      </w:r>
      <w:proofErr w:type="gramStart"/>
      <w:r w:rsidRPr="00F51056">
        <w:rPr>
          <w:rFonts w:ascii="Arial" w:hAnsi="Arial" w:cs="Arial"/>
        </w:rPr>
        <w:t>2019  Trends</w:t>
      </w:r>
      <w:proofErr w:type="gramEnd"/>
      <w:r w:rsidRPr="00F51056">
        <w:rPr>
          <w:rFonts w:ascii="Arial" w:hAnsi="Arial" w:cs="Arial"/>
        </w:rPr>
        <w:t xml:space="preserve"> include putting exception taxonomies into a formal system, using lightweight predictive scores for pre-prioritization, and using dashboards to help with vendor section reconciliation.  Providers don't just use tools to set themselves apart; they also use governance checklists.  SLAs escalation timers into the normal flow of </w:t>
      </w:r>
      <w:proofErr w:type="gramStart"/>
      <w:r w:rsidRPr="00F51056">
        <w:rPr>
          <w:rFonts w:ascii="Arial" w:hAnsi="Arial" w:cs="Arial"/>
        </w:rPr>
        <w:t>operations  Over</w:t>
      </w:r>
      <w:proofErr w:type="gramEnd"/>
      <w:r w:rsidRPr="00F51056">
        <w:rPr>
          <w:rFonts w:ascii="Arial" w:hAnsi="Arial" w:cs="Arial"/>
        </w:rPr>
        <w:t xml:space="preserve"> the next five years, scalable offerings will combine models that can be understood.  RPU OLTAS integrations and data stewardship practices to make sure that everything is correct and on time, even when there are quarterly deadlines. </w:t>
      </w:r>
    </w:p>
    <w:p w14:paraId="580E35E0" w14:textId="77777777" w:rsidR="00F51056" w:rsidRPr="00F51056" w:rsidRDefault="00F51056" w:rsidP="00F51056">
      <w:pPr>
        <w:spacing w:after="120"/>
        <w:jc w:val="both"/>
        <w:rPr>
          <w:rFonts w:ascii="Arial" w:hAnsi="Arial" w:cs="Arial"/>
          <w:b/>
          <w:bCs/>
        </w:rPr>
      </w:pPr>
      <w:r w:rsidRPr="00F51056">
        <w:rPr>
          <w:rFonts w:ascii="Arial" w:hAnsi="Arial" w:cs="Arial"/>
          <w:b/>
          <w:bCs/>
        </w:rPr>
        <w:t>Problems with TDS Compliance Services industry</w:t>
      </w:r>
    </w:p>
    <w:p w14:paraId="3435A745" w14:textId="77777777" w:rsidR="00F51056" w:rsidRPr="00F51056" w:rsidRDefault="00F51056" w:rsidP="00F51056">
      <w:pPr>
        <w:spacing w:after="120"/>
        <w:ind w:firstLine="720"/>
        <w:jc w:val="both"/>
        <w:rPr>
          <w:rFonts w:ascii="Arial" w:hAnsi="Arial" w:cs="Arial"/>
          <w:b/>
          <w:bCs/>
        </w:rPr>
      </w:pPr>
      <w:r w:rsidRPr="00F51056">
        <w:rPr>
          <w:rFonts w:ascii="Arial" w:hAnsi="Arial" w:cs="Arial"/>
        </w:rPr>
        <w:t xml:space="preserve">Sector frictions build up at the last mile of getting data ready and closing exceptions.  Coverage of overlapping sections and changing </w:t>
      </w:r>
      <w:proofErr w:type="gramStart"/>
      <w:r w:rsidRPr="00F51056">
        <w:rPr>
          <w:rFonts w:ascii="Arial" w:hAnsi="Arial" w:cs="Arial"/>
        </w:rPr>
        <w:t>rules  e.g.</w:t>
      </w:r>
      <w:proofErr w:type="gramEnd"/>
      <w:r w:rsidRPr="00F51056">
        <w:rPr>
          <w:rFonts w:ascii="Arial" w:hAnsi="Arial" w:cs="Arial"/>
        </w:rPr>
        <w:t xml:space="preserve"> 194Q  make edge cases that aren't clear  Fragmented systems spread PAN and challan mismatches and require manual checks.  struggle with </w:t>
      </w:r>
      <w:proofErr w:type="gramStart"/>
      <w:r w:rsidRPr="00F51056">
        <w:rPr>
          <w:rFonts w:ascii="Arial" w:hAnsi="Arial" w:cs="Arial"/>
        </w:rPr>
        <w:t>volume  Without</w:t>
      </w:r>
      <w:proofErr w:type="gramEnd"/>
      <w:r w:rsidRPr="00F51056">
        <w:rPr>
          <w:rFonts w:ascii="Arial" w:hAnsi="Arial" w:cs="Arial"/>
        </w:rPr>
        <w:t xml:space="preserve"> process transparency, organizations don't realize how much rework loops and non-conformance slow things down.  Jans Alles Vasarhelyi 2014 van der </w:t>
      </w:r>
      <w:proofErr w:type="gramStart"/>
      <w:r w:rsidRPr="00F51056">
        <w:rPr>
          <w:rFonts w:ascii="Arial" w:hAnsi="Arial" w:cs="Arial"/>
        </w:rPr>
        <w:t>Aalst  2016</w:t>
      </w:r>
      <w:proofErr w:type="gramEnd"/>
      <w:r w:rsidRPr="00F51056">
        <w:rPr>
          <w:rFonts w:ascii="Arial" w:hAnsi="Arial" w:cs="Arial"/>
        </w:rPr>
        <w:t xml:space="preserve">  Quality problems are rarely just about accuracy. Late, incomplete, or inconsistent fields can mess up reconciliation and make dashboards used for risk and workload decisions look wrong.  Wang Strong </w:t>
      </w:r>
      <w:proofErr w:type="gramStart"/>
      <w:r w:rsidRPr="00F51056">
        <w:rPr>
          <w:rFonts w:ascii="Arial" w:hAnsi="Arial" w:cs="Arial"/>
        </w:rPr>
        <w:t>1996  RPA</w:t>
      </w:r>
      <w:proofErr w:type="gramEnd"/>
      <w:r w:rsidRPr="00F51056">
        <w:rPr>
          <w:rFonts w:ascii="Arial" w:hAnsi="Arial" w:cs="Arial"/>
        </w:rPr>
        <w:t xml:space="preserve"> can speed up bad steps, move error surfaces, and disappoint stakeholders when automation is added to flows that aren't easy to understand.  </w:t>
      </w:r>
    </w:p>
    <w:p w14:paraId="095ED431" w14:textId="77777777" w:rsidR="00F51056" w:rsidRPr="00F51056" w:rsidRDefault="00F51056" w:rsidP="00F51056">
      <w:pPr>
        <w:spacing w:after="120"/>
        <w:ind w:firstLine="720"/>
        <w:jc w:val="both"/>
        <w:rPr>
          <w:rFonts w:ascii="Arial" w:hAnsi="Arial" w:cs="Arial"/>
        </w:rPr>
      </w:pPr>
      <w:r w:rsidRPr="00F51056">
        <w:rPr>
          <w:rFonts w:ascii="Arial" w:hAnsi="Arial" w:cs="Arial"/>
        </w:rPr>
        <w:t xml:space="preserve">Willcocks </w:t>
      </w:r>
      <w:proofErr w:type="spellStart"/>
      <w:proofErr w:type="gramStart"/>
      <w:r w:rsidRPr="00F51056">
        <w:rPr>
          <w:rFonts w:ascii="Arial" w:hAnsi="Arial" w:cs="Arial"/>
        </w:rPr>
        <w:t>Lacity</w:t>
      </w:r>
      <w:proofErr w:type="spellEnd"/>
      <w:r w:rsidRPr="00F51056">
        <w:rPr>
          <w:rFonts w:ascii="Arial" w:hAnsi="Arial" w:cs="Arial"/>
        </w:rPr>
        <w:t xml:space="preserve">  2016</w:t>
      </w:r>
      <w:proofErr w:type="gramEnd"/>
      <w:r w:rsidRPr="00F51056">
        <w:rPr>
          <w:rFonts w:ascii="Arial" w:hAnsi="Arial" w:cs="Arial"/>
        </w:rPr>
        <w:t xml:space="preserve">  In the meantime, black box models for exceptions  Triage diminishes auditability in interpretable methodologies.  better support for human review calibration and </w:t>
      </w:r>
      <w:proofErr w:type="gramStart"/>
      <w:r w:rsidRPr="00F51056">
        <w:rPr>
          <w:rFonts w:ascii="Arial" w:hAnsi="Arial" w:cs="Arial"/>
        </w:rPr>
        <w:t>defense  Rudin</w:t>
      </w:r>
      <w:proofErr w:type="gramEnd"/>
      <w:r w:rsidRPr="00F51056">
        <w:rPr>
          <w:rFonts w:ascii="Arial" w:hAnsi="Arial" w:cs="Arial"/>
        </w:rPr>
        <w:t xml:space="preserve"> 2019  Finally, without decision rights and stewardship, data </w:t>
      </w:r>
      <w:r w:rsidRPr="00F51056">
        <w:rPr>
          <w:rFonts w:ascii="Arial" w:hAnsi="Arial" w:cs="Arial"/>
        </w:rPr>
        <w:lastRenderedPageBreak/>
        <w:t xml:space="preserve">governance becomes sporadic, and improvements fade away over time.  Khatri Brown </w:t>
      </w:r>
      <w:proofErr w:type="gramStart"/>
      <w:r w:rsidRPr="00F51056">
        <w:rPr>
          <w:rFonts w:ascii="Arial" w:hAnsi="Arial" w:cs="Arial"/>
        </w:rPr>
        <w:t>2010  So</w:t>
      </w:r>
      <w:proofErr w:type="gramEnd"/>
      <w:r w:rsidRPr="00F51056">
        <w:rPr>
          <w:rFonts w:ascii="Arial" w:hAnsi="Arial" w:cs="Arial"/>
        </w:rPr>
        <w:t>, the most important thing is to have clear rules for orchestration, process redesign, trustworthy data, and human-centered automation so that quarterly filings are always on time and have few errors at scale</w:t>
      </w:r>
    </w:p>
    <w:p w14:paraId="15FF1247" w14:textId="77777777" w:rsidR="00F51056" w:rsidRPr="00F51056" w:rsidRDefault="00F51056" w:rsidP="00F51056">
      <w:pPr>
        <w:spacing w:after="120"/>
        <w:jc w:val="both"/>
        <w:rPr>
          <w:rFonts w:ascii="Arial" w:hAnsi="Arial" w:cs="Arial"/>
          <w:b/>
          <w:bCs/>
        </w:rPr>
      </w:pPr>
      <w:r w:rsidRPr="00F51056">
        <w:rPr>
          <w:rFonts w:ascii="Arial" w:hAnsi="Arial" w:cs="Arial"/>
          <w:b/>
          <w:bCs/>
        </w:rPr>
        <w:t>About EY India LLP</w:t>
      </w:r>
    </w:p>
    <w:p w14:paraId="756CE34A" w14:textId="77777777" w:rsidR="00F51056" w:rsidRPr="00F51056" w:rsidRDefault="00F51056" w:rsidP="00F51056">
      <w:pPr>
        <w:spacing w:after="120"/>
        <w:ind w:firstLine="720"/>
        <w:jc w:val="both"/>
        <w:rPr>
          <w:rFonts w:ascii="Arial" w:hAnsi="Arial" w:cs="Arial"/>
        </w:rPr>
      </w:pPr>
      <w:r w:rsidRPr="00F51056">
        <w:rPr>
          <w:rFonts w:ascii="Arial" w:hAnsi="Arial" w:cs="Arial"/>
        </w:rPr>
        <w:t>The Global Compliance and Reporting Direct Tax team at EY India LLP helped a mid-sized multinational company with a lot of different vendors.  There were more than 2,500 transactions in the quarterly payment volume, and about 84% of them needed to be deducted under common sections like 194C, 194J, 194Q, 195, and 194A.  Before EY got involved, TDS-related data was spread across several ERPs, and there was no unified reconciliation. This made it more likely that PANs would be mismatched, challans would be wrong, sections would be misclassified, and duplicates would be created.  A first manual pre-check found a six percent error rate, or about 126 entries that were causing problems, which put the timeliness of Form 26Q at risk and raised the chance of 26AS mismatches and mistakes.  Form 16</w:t>
      </w:r>
      <w:proofErr w:type="gramStart"/>
      <w:r w:rsidRPr="00F51056">
        <w:rPr>
          <w:rFonts w:ascii="Arial" w:hAnsi="Arial" w:cs="Arial"/>
        </w:rPr>
        <w:t>A  EY</w:t>
      </w:r>
      <w:proofErr w:type="gramEnd"/>
      <w:r w:rsidRPr="00F51056">
        <w:rPr>
          <w:rFonts w:ascii="Arial" w:hAnsi="Arial" w:cs="Arial"/>
        </w:rPr>
        <w:t xml:space="preserve"> used an automation stack that worked with the Return Preparation Utility (RPU) and OLTAS to check the PANs challans and the rates for each section.  added Power BI dashboards for vendor and section drill-downs  set up a way to escalate exceptions to senior management for review, created standard checklists, and trained clients  Results included a drop in the error rate from six percent to one and a half percent, faster error detection (about forty percent faster), timely Form 26Q submissions, and an estimated twenty-four professional hours saved per quarter that could be used for advisory work.  The case highlights a practical integration of automation and governance that results in quantifiable </w:t>
      </w:r>
      <w:r w:rsidRPr="00F51056">
        <w:rPr>
          <w:rFonts w:ascii="Arial" w:hAnsi="Arial" w:cs="Arial"/>
        </w:rPr>
        <w:lastRenderedPageBreak/>
        <w:t>enhancements in accuracy and punctuality within statutory deadlines.</w:t>
      </w:r>
    </w:p>
    <w:p w14:paraId="6D58823E" w14:textId="77777777" w:rsidR="00F51056" w:rsidRPr="00F51056" w:rsidRDefault="00F51056" w:rsidP="00F51056">
      <w:pPr>
        <w:spacing w:after="120"/>
        <w:jc w:val="both"/>
        <w:rPr>
          <w:rFonts w:ascii="Arial" w:hAnsi="Arial" w:cs="Arial"/>
          <w:b/>
          <w:bCs/>
        </w:rPr>
      </w:pPr>
      <w:r w:rsidRPr="00F51056">
        <w:rPr>
          <w:rFonts w:ascii="Arial" w:hAnsi="Arial" w:cs="Arial"/>
          <w:b/>
          <w:bCs/>
        </w:rPr>
        <w:t>Problems faced by EY India LLP</w:t>
      </w:r>
    </w:p>
    <w:p w14:paraId="7789882B" w14:textId="77777777" w:rsidR="00F51056" w:rsidRPr="00F51056" w:rsidRDefault="00F51056" w:rsidP="00F51056">
      <w:pPr>
        <w:spacing w:after="120"/>
        <w:ind w:firstLine="720"/>
        <w:jc w:val="both"/>
        <w:rPr>
          <w:rFonts w:ascii="Arial" w:hAnsi="Arial" w:cs="Arial"/>
        </w:rPr>
      </w:pPr>
      <w:r w:rsidRPr="00F51056">
        <w:rPr>
          <w:rFonts w:ascii="Arial" w:hAnsi="Arial" w:cs="Arial"/>
        </w:rPr>
        <w:t xml:space="preserve">At the start, there were four groups of preventable defects: PAN mismatches, challan inaccuracies, section misclassification, and duplicate entries.  These mistakes made rework more expensive, put Form 26Q filings at risk of being late, and made 26AS mismatches and mistakes more likely.  Problems with Form 16A that hurt vendor </w:t>
      </w:r>
      <w:proofErr w:type="gramStart"/>
      <w:r w:rsidRPr="00F51056">
        <w:rPr>
          <w:rFonts w:ascii="Arial" w:hAnsi="Arial" w:cs="Arial"/>
        </w:rPr>
        <w:t>trust  Because</w:t>
      </w:r>
      <w:proofErr w:type="gramEnd"/>
      <w:r w:rsidRPr="00F51056">
        <w:rPr>
          <w:rFonts w:ascii="Arial" w:hAnsi="Arial" w:cs="Arial"/>
        </w:rPr>
        <w:t xml:space="preserve"> ERPs were broken up and there wasn't a central reconciliation layer, teams worked with different extracts and manual checks fell behind on volume.</w:t>
      </w:r>
    </w:p>
    <w:p w14:paraId="7239DF5E" w14:textId="4B2DA994" w:rsidR="00F51056" w:rsidRPr="00F51056" w:rsidRDefault="00F51056" w:rsidP="00F51056">
      <w:pPr>
        <w:spacing w:after="120"/>
        <w:jc w:val="both"/>
        <w:rPr>
          <w:rFonts w:ascii="Arial" w:hAnsi="Arial" w:cs="Arial"/>
        </w:rPr>
      </w:pPr>
      <w:r w:rsidRPr="00F51056">
        <w:rPr>
          <w:rFonts w:ascii="Arial" w:hAnsi="Arial" w:cs="Arial"/>
        </w:rPr>
        <w:t xml:space="preserve"> </w:t>
      </w:r>
      <w:r>
        <w:rPr>
          <w:rFonts w:ascii="Arial" w:hAnsi="Arial" w:cs="Arial"/>
        </w:rPr>
        <w:tab/>
      </w:r>
      <w:r w:rsidRPr="00F51056">
        <w:rPr>
          <w:rFonts w:ascii="Arial" w:hAnsi="Arial" w:cs="Arial"/>
        </w:rPr>
        <w:t xml:space="preserve"> It took a long time to find errors because screening used spreadsheet filters instead of machine validation that worked with RPU and OLTAS.  There wasn't a clear way to make exceptions for things like telling the difference between 194C and 194J or using 195 for payments from people who don't live in the area. This led to late escalations and unnecessary churn near the end of the quarter.  Because the training wasn't formal, the same types of mistakes happened over and over again.  The end result was a six percent error rate on more than 2,500 payments per quarter, which means that about 126 entries were wrong within a 31-day period after the quarter ended, leaving little time for rework.  To fix these issues, we needed a minimal validation stack to catch common bugs.  early dashboards to show hotspots at the vendor and section </w:t>
      </w:r>
      <w:proofErr w:type="gramStart"/>
      <w:r w:rsidRPr="00F51056">
        <w:rPr>
          <w:rFonts w:ascii="Arial" w:hAnsi="Arial" w:cs="Arial"/>
        </w:rPr>
        <w:t>level  an</w:t>
      </w:r>
      <w:proofErr w:type="gramEnd"/>
      <w:r w:rsidRPr="00F51056">
        <w:rPr>
          <w:rFonts w:ascii="Arial" w:hAnsi="Arial" w:cs="Arial"/>
        </w:rPr>
        <w:t xml:space="preserve"> exception taxonomy with SLAs for judgment items and standardized checklists, along with targeted client enablement, so that improvements lasted longer than one filing cycle.</w:t>
      </w:r>
    </w:p>
    <w:p w14:paraId="313AFBD5" w14:textId="77777777" w:rsidR="00F51056" w:rsidRPr="00F51056" w:rsidRDefault="00F51056" w:rsidP="00F51056">
      <w:pPr>
        <w:spacing w:after="120"/>
        <w:jc w:val="both"/>
        <w:rPr>
          <w:rFonts w:ascii="Arial" w:hAnsi="Arial" w:cs="Arial"/>
          <w:b/>
          <w:bCs/>
        </w:rPr>
      </w:pPr>
      <w:r w:rsidRPr="00F51056">
        <w:rPr>
          <w:rFonts w:ascii="Arial" w:hAnsi="Arial" w:cs="Arial"/>
          <w:b/>
          <w:bCs/>
        </w:rPr>
        <w:t>Key strategies</w:t>
      </w:r>
    </w:p>
    <w:p w14:paraId="3EDBD666" w14:textId="77777777" w:rsidR="00F51056" w:rsidRPr="00F51056" w:rsidRDefault="00F51056" w:rsidP="00F51056">
      <w:pPr>
        <w:spacing w:after="120"/>
        <w:ind w:firstLine="720"/>
        <w:jc w:val="both"/>
        <w:rPr>
          <w:rFonts w:ascii="Arial" w:hAnsi="Arial" w:cs="Arial"/>
        </w:rPr>
      </w:pPr>
      <w:r w:rsidRPr="00F51056">
        <w:rPr>
          <w:rFonts w:ascii="Arial" w:hAnsi="Arial" w:cs="Arial"/>
        </w:rPr>
        <w:t>There are four levers that work together to make the ninety-day plan work. First, a simple validation stack with control-</w:t>
      </w:r>
      <w:r w:rsidRPr="00F51056">
        <w:rPr>
          <w:rFonts w:ascii="Arial" w:hAnsi="Arial" w:cs="Arial"/>
        </w:rPr>
        <w:lastRenderedPageBreak/>
        <w:t xml:space="preserve">as-checklist embeds PAN/challan/section gates through RPU/OLTAS so that the logic required by law is mirrored at capture. Mandatory fields are locked, nightly validations are run, and a published defect taxonomy with fix-scripts </w:t>
      </w:r>
      <w:proofErr w:type="spellStart"/>
      <w:r w:rsidRPr="00F51056">
        <w:rPr>
          <w:rFonts w:ascii="Arial" w:hAnsi="Arial" w:cs="Arial"/>
        </w:rPr>
        <w:t>standardises</w:t>
      </w:r>
      <w:proofErr w:type="spellEnd"/>
      <w:r w:rsidRPr="00F51056">
        <w:rPr>
          <w:rFonts w:ascii="Arial" w:hAnsi="Arial" w:cs="Arial"/>
        </w:rPr>
        <w:t xml:space="preserve"> remediation. This enhances decision utility by increasing timeliness, completeness, and consistency, while diminishing variance (Wang &amp; Strong, 1996). Second, an interpretable TDS Exception Probability Score pre-prioritizes transactions based on the likelihood of a mismatch, so expert review can focus on the most important ones. A logistic baseline with monotonic constraints is calibrated to SLA risk, which keeps the defensibility and auditability that black-box models lose (Rudin, 2019). Third, vendor/section dashboards and process mining find hotspots and show rework and conformance gaps from event logs. Standard extracts, conformance checks, and weekly WBR heat-maps show benefits and fix sequences (</w:t>
      </w:r>
      <w:proofErr w:type="spellStart"/>
      <w:r w:rsidRPr="00F51056">
        <w:rPr>
          <w:rFonts w:ascii="Arial" w:hAnsi="Arial" w:cs="Arial"/>
        </w:rPr>
        <w:t>Jans</w:t>
      </w:r>
      <w:proofErr w:type="spellEnd"/>
      <w:r w:rsidRPr="00F51056">
        <w:rPr>
          <w:rFonts w:ascii="Arial" w:hAnsi="Arial" w:cs="Arial"/>
        </w:rPr>
        <w:t xml:space="preserve">, </w:t>
      </w:r>
      <w:proofErr w:type="spellStart"/>
      <w:r w:rsidRPr="00F51056">
        <w:rPr>
          <w:rFonts w:ascii="Arial" w:hAnsi="Arial" w:cs="Arial"/>
        </w:rPr>
        <w:t>Alles</w:t>
      </w:r>
      <w:proofErr w:type="spellEnd"/>
      <w:r w:rsidRPr="00F51056">
        <w:rPr>
          <w:rFonts w:ascii="Arial" w:hAnsi="Arial" w:cs="Arial"/>
        </w:rPr>
        <w:t xml:space="preserve">, &amp; </w:t>
      </w:r>
      <w:proofErr w:type="spellStart"/>
      <w:r w:rsidRPr="00F51056">
        <w:rPr>
          <w:rFonts w:ascii="Arial" w:hAnsi="Arial" w:cs="Arial"/>
        </w:rPr>
        <w:t>Vasarhelyi</w:t>
      </w:r>
      <w:proofErr w:type="spellEnd"/>
      <w:r w:rsidRPr="00F51056">
        <w:rPr>
          <w:rFonts w:ascii="Arial" w:hAnsi="Arial" w:cs="Arial"/>
        </w:rPr>
        <w:t xml:space="preserve">, 2014; van der Aalst, 2016). Fourth, exception governance with a training cadence </w:t>
      </w:r>
      <w:proofErr w:type="spellStart"/>
      <w:r w:rsidRPr="00F51056">
        <w:rPr>
          <w:rFonts w:ascii="Arial" w:hAnsi="Arial" w:cs="Arial"/>
        </w:rPr>
        <w:t>institutionalises</w:t>
      </w:r>
      <w:proofErr w:type="spellEnd"/>
      <w:r w:rsidRPr="00F51056">
        <w:rPr>
          <w:rFonts w:ascii="Arial" w:hAnsi="Arial" w:cs="Arial"/>
        </w:rPr>
        <w:t xml:space="preserve"> reason codes, owners, timestamps, SLAs, and quarterly retrospectives, ensuring automation gains persist via redesigned controls and continuous assurance (</w:t>
      </w:r>
      <w:proofErr w:type="spellStart"/>
      <w:r w:rsidRPr="00F51056">
        <w:rPr>
          <w:rFonts w:ascii="Arial" w:hAnsi="Arial" w:cs="Arial"/>
        </w:rPr>
        <w:t>Vasarhelyi</w:t>
      </w:r>
      <w:proofErr w:type="spellEnd"/>
      <w:r w:rsidRPr="00F51056">
        <w:rPr>
          <w:rFonts w:ascii="Arial" w:hAnsi="Arial" w:cs="Arial"/>
        </w:rPr>
        <w:t xml:space="preserve">, </w:t>
      </w:r>
      <w:proofErr w:type="spellStart"/>
      <w:r w:rsidRPr="00F51056">
        <w:rPr>
          <w:rFonts w:ascii="Arial" w:hAnsi="Arial" w:cs="Arial"/>
        </w:rPr>
        <w:t>Kogan</w:t>
      </w:r>
      <w:proofErr w:type="spellEnd"/>
      <w:r w:rsidRPr="00F51056">
        <w:rPr>
          <w:rFonts w:ascii="Arial" w:hAnsi="Arial" w:cs="Arial"/>
        </w:rPr>
        <w:t xml:space="preserve">, &amp; Tuttle, 2015; Willcocks &amp; </w:t>
      </w:r>
      <w:proofErr w:type="spellStart"/>
      <w:r w:rsidRPr="00F51056">
        <w:rPr>
          <w:rFonts w:ascii="Arial" w:hAnsi="Arial" w:cs="Arial"/>
        </w:rPr>
        <w:t>Lacity</w:t>
      </w:r>
      <w:proofErr w:type="spellEnd"/>
      <w:r w:rsidRPr="00F51056">
        <w:rPr>
          <w:rFonts w:ascii="Arial" w:hAnsi="Arial" w:cs="Arial"/>
        </w:rPr>
        <w:t>, 2016). We keep track of success by looking at the error rate by class, detection time, rework hours, on-time Form 26Q, precision/recall and override rates, hotspot burn-down, conformance scores, avoided penalties, ageing, repeat-defect rate, vendor satisfaction, and advisory hours released.</w:t>
      </w:r>
    </w:p>
    <w:p w14:paraId="12BCCD7E" w14:textId="77777777" w:rsidR="00F51056" w:rsidRPr="00F51056" w:rsidRDefault="00F51056" w:rsidP="00F51056">
      <w:pPr>
        <w:spacing w:after="120"/>
        <w:jc w:val="both"/>
        <w:rPr>
          <w:rFonts w:ascii="Arial" w:hAnsi="Arial" w:cs="Arial"/>
          <w:b/>
          <w:bCs/>
        </w:rPr>
      </w:pPr>
      <w:r w:rsidRPr="00F51056">
        <w:rPr>
          <w:rFonts w:ascii="Arial" w:hAnsi="Arial" w:cs="Arial"/>
          <w:b/>
          <w:bCs/>
        </w:rPr>
        <w:t>Academic Learning</w:t>
      </w:r>
    </w:p>
    <w:p w14:paraId="30C80FFE" w14:textId="77777777" w:rsidR="00F51056" w:rsidRPr="00F51056" w:rsidRDefault="00F51056" w:rsidP="00F51056">
      <w:pPr>
        <w:spacing w:after="120"/>
        <w:jc w:val="both"/>
        <w:rPr>
          <w:rFonts w:ascii="Arial" w:hAnsi="Arial" w:cs="Arial"/>
        </w:rPr>
      </w:pPr>
      <w:r w:rsidRPr="00F51056">
        <w:rPr>
          <w:rFonts w:ascii="Arial" w:hAnsi="Arial" w:cs="Arial"/>
          <w:b/>
        </w:rPr>
        <w:t>Portable Idea 1 —</w:t>
      </w:r>
      <w:r w:rsidRPr="00F51056">
        <w:rPr>
          <w:rFonts w:ascii="Arial" w:hAnsi="Arial" w:cs="Arial"/>
        </w:rPr>
        <w:t xml:space="preserve"> Reliability</w:t>
      </w:r>
      <w:r w:rsidRPr="00F51056">
        <w:rPr>
          <w:rFonts w:ascii="Cambria Math" w:hAnsi="Cambria Math" w:cs="Cambria Math"/>
        </w:rPr>
        <w:t>‑</w:t>
      </w:r>
      <w:r w:rsidRPr="00F51056">
        <w:rPr>
          <w:rFonts w:ascii="Arial" w:hAnsi="Arial" w:cs="Arial"/>
        </w:rPr>
        <w:t>Centered Compliance (RCC): Build flows that are right</w:t>
      </w:r>
      <w:r w:rsidRPr="00F51056">
        <w:rPr>
          <w:rFonts w:ascii="Cambria Math" w:hAnsi="Cambria Math" w:cs="Cambria Math"/>
        </w:rPr>
        <w:t>‑</w:t>
      </w:r>
      <w:r w:rsidRPr="00F51056">
        <w:rPr>
          <w:rFonts w:ascii="Arial" w:hAnsi="Arial" w:cs="Arial"/>
        </w:rPr>
        <w:t>first</w:t>
      </w:r>
      <w:r w:rsidRPr="00F51056">
        <w:rPr>
          <w:rFonts w:ascii="Cambria Math" w:hAnsi="Cambria Math" w:cs="Cambria Math"/>
        </w:rPr>
        <w:t>‑</w:t>
      </w:r>
      <w:r w:rsidRPr="00F51056">
        <w:rPr>
          <w:rFonts w:ascii="Arial" w:hAnsi="Arial" w:cs="Arial"/>
        </w:rPr>
        <w:t xml:space="preserve">time by design; measure error rate by class, detection time, and rework hours. Underpin with data governance that clarifies decision rights and stewardship </w:t>
      </w:r>
      <w:r w:rsidRPr="00F51056">
        <w:rPr>
          <w:rFonts w:ascii="Arial" w:hAnsi="Arial" w:cs="Arial"/>
        </w:rPr>
        <w:lastRenderedPageBreak/>
        <w:t>(Khatri &amp; Brown, 2010; Wang &amp; Strong, 1996).</w:t>
      </w:r>
    </w:p>
    <w:p w14:paraId="061A63B6" w14:textId="77777777" w:rsidR="00F51056" w:rsidRPr="00F51056" w:rsidRDefault="00F51056" w:rsidP="00F51056">
      <w:pPr>
        <w:spacing w:after="120"/>
        <w:jc w:val="both"/>
        <w:rPr>
          <w:rFonts w:ascii="Arial" w:hAnsi="Arial" w:cs="Arial"/>
        </w:rPr>
      </w:pPr>
      <w:r w:rsidRPr="00F51056">
        <w:rPr>
          <w:rFonts w:ascii="Arial" w:hAnsi="Arial" w:cs="Arial"/>
          <w:b/>
        </w:rPr>
        <w:t>Portable Idea 2 —</w:t>
      </w:r>
      <w:r w:rsidRPr="00F51056">
        <w:rPr>
          <w:rFonts w:ascii="Arial" w:hAnsi="Arial" w:cs="Arial"/>
        </w:rPr>
        <w:t xml:space="preserve"> Evidence</w:t>
      </w:r>
      <w:r w:rsidRPr="00F51056">
        <w:rPr>
          <w:rFonts w:ascii="Cambria Math" w:hAnsi="Cambria Math" w:cs="Cambria Math"/>
        </w:rPr>
        <w:t>‑</w:t>
      </w:r>
      <w:r w:rsidRPr="00F51056">
        <w:rPr>
          <w:rFonts w:ascii="Arial" w:hAnsi="Arial" w:cs="Arial"/>
        </w:rPr>
        <w:t xml:space="preserve">Driven Sequencing: Use process mining to </w:t>
      </w:r>
      <w:proofErr w:type="spellStart"/>
      <w:r w:rsidRPr="00F51056">
        <w:rPr>
          <w:rFonts w:ascii="Arial" w:hAnsi="Arial" w:cs="Arial"/>
        </w:rPr>
        <w:t>prioritise</w:t>
      </w:r>
      <w:proofErr w:type="spellEnd"/>
      <w:r w:rsidRPr="00F51056">
        <w:rPr>
          <w:rFonts w:ascii="Arial" w:hAnsi="Arial" w:cs="Arial"/>
        </w:rPr>
        <w:t xml:space="preserve"> fixes and verify gains; align dashboards and conformance metrics to a weekly cadence (</w:t>
      </w:r>
      <w:proofErr w:type="spellStart"/>
      <w:r w:rsidRPr="00F51056">
        <w:rPr>
          <w:rFonts w:ascii="Arial" w:hAnsi="Arial" w:cs="Arial"/>
        </w:rPr>
        <w:t>Jans</w:t>
      </w:r>
      <w:proofErr w:type="spellEnd"/>
      <w:r w:rsidRPr="00F51056">
        <w:rPr>
          <w:rFonts w:ascii="Arial" w:hAnsi="Arial" w:cs="Arial"/>
        </w:rPr>
        <w:t xml:space="preserve">, </w:t>
      </w:r>
      <w:proofErr w:type="spellStart"/>
      <w:r w:rsidRPr="00F51056">
        <w:rPr>
          <w:rFonts w:ascii="Arial" w:hAnsi="Arial" w:cs="Arial"/>
        </w:rPr>
        <w:t>Alles</w:t>
      </w:r>
      <w:proofErr w:type="spellEnd"/>
      <w:r w:rsidRPr="00F51056">
        <w:rPr>
          <w:rFonts w:ascii="Arial" w:hAnsi="Arial" w:cs="Arial"/>
        </w:rPr>
        <w:t xml:space="preserve">, &amp; </w:t>
      </w:r>
      <w:proofErr w:type="spellStart"/>
      <w:r w:rsidRPr="00F51056">
        <w:rPr>
          <w:rFonts w:ascii="Arial" w:hAnsi="Arial" w:cs="Arial"/>
        </w:rPr>
        <w:t>Vasarhelyi</w:t>
      </w:r>
      <w:proofErr w:type="spellEnd"/>
      <w:r w:rsidRPr="00F51056">
        <w:rPr>
          <w:rFonts w:ascii="Arial" w:hAnsi="Arial" w:cs="Arial"/>
        </w:rPr>
        <w:t>, 2014; van der Aalst, 2016).</w:t>
      </w:r>
    </w:p>
    <w:p w14:paraId="3D6FE7D4" w14:textId="77777777" w:rsidR="00F51056" w:rsidRPr="00F51056" w:rsidRDefault="00F51056" w:rsidP="00F51056">
      <w:pPr>
        <w:spacing w:after="120"/>
        <w:jc w:val="both"/>
        <w:rPr>
          <w:rFonts w:ascii="Arial" w:hAnsi="Arial" w:cs="Arial"/>
        </w:rPr>
      </w:pPr>
      <w:r w:rsidRPr="00F51056">
        <w:rPr>
          <w:rFonts w:ascii="Arial" w:hAnsi="Arial" w:cs="Arial"/>
          <w:b/>
        </w:rPr>
        <w:t>Portable Idea 3 —</w:t>
      </w:r>
      <w:r w:rsidRPr="00F51056">
        <w:rPr>
          <w:rFonts w:ascii="Arial" w:hAnsi="Arial" w:cs="Arial"/>
        </w:rPr>
        <w:t xml:space="preserve"> Interpretable Triage: Prefer simple, auditable models for exception scoring in high</w:t>
      </w:r>
      <w:r w:rsidRPr="00F51056">
        <w:rPr>
          <w:rFonts w:ascii="Cambria Math" w:hAnsi="Cambria Math" w:cs="Cambria Math"/>
        </w:rPr>
        <w:t>‑</w:t>
      </w:r>
      <w:r w:rsidRPr="00F51056">
        <w:rPr>
          <w:rFonts w:ascii="Arial" w:hAnsi="Arial" w:cs="Arial"/>
        </w:rPr>
        <w:t>stakes compliance; monitor precision/recall, override rates, and SLA breaches (Rudin, 2019).</w:t>
      </w:r>
    </w:p>
    <w:p w14:paraId="091D7807" w14:textId="77777777" w:rsidR="00F51056" w:rsidRPr="00F51056" w:rsidRDefault="00F51056" w:rsidP="00F51056">
      <w:pPr>
        <w:spacing w:after="120"/>
        <w:jc w:val="center"/>
        <w:rPr>
          <w:rFonts w:ascii="Arial" w:hAnsi="Arial" w:cs="Arial"/>
          <w:b/>
          <w:bCs/>
          <w:caps/>
        </w:rPr>
      </w:pPr>
      <w:r w:rsidRPr="00F51056">
        <w:rPr>
          <w:rFonts w:ascii="Arial" w:hAnsi="Arial" w:cs="Arial"/>
          <w:b/>
          <w:bCs/>
          <w:caps/>
        </w:rPr>
        <w:t>Conclusion</w:t>
      </w:r>
    </w:p>
    <w:p w14:paraId="4A924702" w14:textId="77777777" w:rsidR="00F51056" w:rsidRPr="00F51056" w:rsidRDefault="00F51056" w:rsidP="00F51056">
      <w:pPr>
        <w:spacing w:after="120"/>
        <w:ind w:firstLine="720"/>
        <w:jc w:val="both"/>
        <w:rPr>
          <w:rFonts w:ascii="Arial" w:hAnsi="Arial" w:cs="Arial"/>
        </w:rPr>
      </w:pPr>
      <w:r w:rsidRPr="00F51056">
        <w:rPr>
          <w:rFonts w:ascii="Arial" w:hAnsi="Arial" w:cs="Arial"/>
        </w:rPr>
        <w:t>TDS can go from being error-prone to being error-resilient with a hybrid approach that includes machine validation and reconciliation, dashboard-driven hotspot management, exception governance, and training.  The pilot program should lock as few gates as possible, make an exception taxonomy, set up vendor/section heat maps, and have weekly retrospectives based on on-time Form 26Q.  To keep making a difference, there need to be clear roles for stewards and scoring that can be understood so that speed, accuracy, and auditability all go up at the same time.</w:t>
      </w:r>
    </w:p>
    <w:p w14:paraId="68BB06D8" w14:textId="77777777" w:rsidR="00F51056" w:rsidRPr="00F51056" w:rsidRDefault="00F51056" w:rsidP="00F51056">
      <w:pPr>
        <w:spacing w:after="120"/>
        <w:jc w:val="center"/>
        <w:rPr>
          <w:rFonts w:ascii="Arial" w:hAnsi="Arial" w:cs="Arial"/>
          <w:b/>
          <w:bCs/>
          <w:caps/>
        </w:rPr>
      </w:pPr>
      <w:r w:rsidRPr="00F51056">
        <w:rPr>
          <w:rFonts w:ascii="Arial" w:hAnsi="Arial" w:cs="Arial"/>
          <w:b/>
          <w:bCs/>
          <w:caps/>
        </w:rPr>
        <w:t>Case Questions</w:t>
      </w:r>
    </w:p>
    <w:p w14:paraId="7B40BDAB"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t>Diagnostic: Where does the current process accumulate the most preventable errors and how would you prove it using vendor</w:t>
      </w:r>
      <w:r w:rsidRPr="00F51056">
        <w:rPr>
          <w:rFonts w:ascii="Cambria Math" w:hAnsi="Cambria Math" w:cs="Cambria Math"/>
        </w:rPr>
        <w:t>‑</w:t>
      </w:r>
      <w:r w:rsidRPr="00F51056">
        <w:rPr>
          <w:rFonts w:ascii="Arial" w:hAnsi="Arial" w:cs="Arial"/>
        </w:rPr>
        <w:t>wise and section</w:t>
      </w:r>
      <w:r w:rsidRPr="00F51056">
        <w:rPr>
          <w:rFonts w:ascii="Cambria Math" w:hAnsi="Cambria Math" w:cs="Cambria Math"/>
        </w:rPr>
        <w:t>‑</w:t>
      </w:r>
      <w:r w:rsidRPr="00F51056">
        <w:rPr>
          <w:rFonts w:ascii="Arial" w:hAnsi="Arial" w:cs="Arial"/>
        </w:rPr>
        <w:t>wise dashboards?</w:t>
      </w:r>
    </w:p>
    <w:p w14:paraId="7DB93504"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t>Design: What is the minimal validation stack that meaningfully reduces PAN, challan, and section errors without slowing throughput?</w:t>
      </w:r>
    </w:p>
    <w:p w14:paraId="4533C9DF"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t>Analytics/Tech: How would you design an exception taxonomy that distinguishes 194C versus 194J and routes disputes to timely resolution?</w:t>
      </w:r>
    </w:p>
    <w:p w14:paraId="6ED44DBF"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lastRenderedPageBreak/>
        <w:t>Scorecard: What KPIs belong on a weekly TDS quality scorecard and how would you set thresholds to avoid end</w:t>
      </w:r>
      <w:r w:rsidRPr="00F51056">
        <w:rPr>
          <w:rFonts w:ascii="Cambria Math" w:hAnsi="Cambria Math" w:cs="Cambria Math"/>
        </w:rPr>
        <w:t>‑</w:t>
      </w:r>
      <w:r w:rsidRPr="00F51056">
        <w:rPr>
          <w:rFonts w:ascii="Arial" w:hAnsi="Arial" w:cs="Arial"/>
        </w:rPr>
        <w:t>quarter surprises?</w:t>
      </w:r>
    </w:p>
    <w:p w14:paraId="61B77B24"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t>Enablement: How can training and checklists be structured to prevent recurrence of the top three error archetypes next quarter?</w:t>
      </w:r>
    </w:p>
    <w:p w14:paraId="56FBFD80"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t>Extension: Which adjacent compliance processes can reuse the same data</w:t>
      </w:r>
      <w:r w:rsidRPr="00F51056">
        <w:rPr>
          <w:rFonts w:ascii="Cambria Math" w:hAnsi="Cambria Math" w:cs="Cambria Math"/>
        </w:rPr>
        <w:t>‑</w:t>
      </w:r>
      <w:r w:rsidRPr="00F51056">
        <w:rPr>
          <w:rFonts w:ascii="Arial" w:hAnsi="Arial" w:cs="Arial"/>
        </w:rPr>
        <w:t>governance spine and why?</w:t>
      </w:r>
    </w:p>
    <w:p w14:paraId="1C390725" w14:textId="77777777" w:rsidR="00F51056" w:rsidRPr="00F51056" w:rsidRDefault="00F51056" w:rsidP="00F51056">
      <w:pPr>
        <w:spacing w:after="120"/>
        <w:jc w:val="both"/>
        <w:rPr>
          <w:rFonts w:ascii="Arial" w:hAnsi="Arial" w:cs="Arial"/>
          <w:b/>
          <w:bCs/>
        </w:rPr>
      </w:pPr>
      <w:r w:rsidRPr="00F51056">
        <w:rPr>
          <w:rFonts w:ascii="Arial" w:hAnsi="Arial" w:cs="Arial"/>
          <w:b/>
          <w:bCs/>
        </w:rPr>
        <w:t>Elaborated Teaching Notes (for instructors)</w:t>
      </w:r>
    </w:p>
    <w:p w14:paraId="52D3E2A5" w14:textId="77777777" w:rsidR="00F51056" w:rsidRPr="00F51056" w:rsidRDefault="00F51056" w:rsidP="00F51056">
      <w:pPr>
        <w:spacing w:after="120"/>
        <w:jc w:val="both"/>
        <w:rPr>
          <w:rFonts w:ascii="Arial" w:hAnsi="Arial" w:cs="Arial"/>
          <w:b/>
          <w:bCs/>
        </w:rPr>
      </w:pPr>
      <w:proofErr w:type="spellStart"/>
      <w:r w:rsidRPr="00F51056">
        <w:rPr>
          <w:rFonts w:ascii="Arial" w:hAnsi="Arial" w:cs="Arial"/>
          <w:b/>
          <w:bCs/>
        </w:rPr>
        <w:t>Programme</w:t>
      </w:r>
      <w:proofErr w:type="spellEnd"/>
      <w:r w:rsidRPr="00F51056">
        <w:rPr>
          <w:rFonts w:ascii="Arial" w:hAnsi="Arial" w:cs="Arial"/>
          <w:b/>
          <w:bCs/>
        </w:rPr>
        <w:t xml:space="preserve"> fit</w:t>
      </w:r>
    </w:p>
    <w:p w14:paraId="25AAA35E" w14:textId="77777777" w:rsidR="00F51056" w:rsidRPr="00F51056" w:rsidRDefault="00F51056" w:rsidP="00F51056">
      <w:pPr>
        <w:spacing w:after="120"/>
        <w:jc w:val="both"/>
        <w:rPr>
          <w:rFonts w:ascii="Arial" w:hAnsi="Arial" w:cs="Arial"/>
        </w:rPr>
      </w:pPr>
      <w:r w:rsidRPr="00F51056">
        <w:rPr>
          <w:rFonts w:ascii="Arial" w:hAnsi="Arial" w:cs="Arial"/>
        </w:rPr>
        <w:t>MBA/PG/Exec: Taxation &amp; Compliance; Service Operations; Business Analytics; Accounting Information Systems; Consulting Practice.</w:t>
      </w:r>
    </w:p>
    <w:p w14:paraId="1E4A154F" w14:textId="77777777" w:rsidR="00F51056" w:rsidRPr="00F51056" w:rsidRDefault="00F51056" w:rsidP="00F51056">
      <w:pPr>
        <w:spacing w:after="120"/>
        <w:jc w:val="both"/>
        <w:rPr>
          <w:rFonts w:ascii="Arial" w:hAnsi="Arial" w:cs="Arial"/>
          <w:b/>
          <w:bCs/>
        </w:rPr>
      </w:pPr>
      <w:r w:rsidRPr="00F51056">
        <w:rPr>
          <w:rFonts w:ascii="Arial" w:hAnsi="Arial" w:cs="Arial"/>
          <w:b/>
          <w:bCs/>
        </w:rPr>
        <w:t>Pedagogical objectives (Learning outcomes)</w:t>
      </w:r>
    </w:p>
    <w:p w14:paraId="1B20281B"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t>Diagnose compliance bottlenecks under statutory deadlines.</w:t>
      </w:r>
    </w:p>
    <w:p w14:paraId="3BAF5453"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t>Quantify payoffs from automated validation and reconciliation; size penalty exposure avoided.</w:t>
      </w:r>
    </w:p>
    <w:p w14:paraId="5042B6B0"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t>Design exception governance and a de</w:t>
      </w:r>
      <w:r w:rsidRPr="00F51056">
        <w:rPr>
          <w:rFonts w:ascii="Cambria Math" w:hAnsi="Cambria Math" w:cs="Cambria Math"/>
        </w:rPr>
        <w:t>‑</w:t>
      </w:r>
      <w:r w:rsidRPr="00F51056">
        <w:rPr>
          <w:rFonts w:ascii="Arial" w:hAnsi="Arial" w:cs="Arial"/>
        </w:rPr>
        <w:t>risked ninety</w:t>
      </w:r>
      <w:r w:rsidRPr="00F51056">
        <w:rPr>
          <w:rFonts w:ascii="Cambria Math" w:hAnsi="Cambria Math" w:cs="Cambria Math"/>
        </w:rPr>
        <w:t>‑</w:t>
      </w:r>
      <w:r w:rsidRPr="00F51056">
        <w:rPr>
          <w:rFonts w:ascii="Arial" w:hAnsi="Arial" w:cs="Arial"/>
        </w:rPr>
        <w:t>day rollout with a durable scorecard.</w:t>
      </w:r>
    </w:p>
    <w:p w14:paraId="2A67632B" w14:textId="77777777" w:rsidR="00F51056" w:rsidRPr="00F51056" w:rsidRDefault="00F51056" w:rsidP="00F51056">
      <w:pPr>
        <w:spacing w:after="120"/>
        <w:jc w:val="both"/>
        <w:rPr>
          <w:rFonts w:ascii="Arial" w:hAnsi="Arial" w:cs="Arial"/>
          <w:b/>
          <w:bCs/>
        </w:rPr>
      </w:pPr>
      <w:r w:rsidRPr="00F51056">
        <w:rPr>
          <w:rFonts w:ascii="Arial" w:hAnsi="Arial" w:cs="Arial"/>
          <w:b/>
          <w:bCs/>
        </w:rPr>
        <w:t>Pre class preparation</w:t>
      </w:r>
    </w:p>
    <w:p w14:paraId="5B542B4E" w14:textId="77777777" w:rsidR="00F51056" w:rsidRPr="00F51056" w:rsidRDefault="00F51056" w:rsidP="00F51056">
      <w:pPr>
        <w:spacing w:after="120"/>
        <w:jc w:val="both"/>
        <w:rPr>
          <w:rFonts w:ascii="Arial" w:hAnsi="Arial" w:cs="Arial"/>
        </w:rPr>
      </w:pPr>
      <w:r w:rsidRPr="00F51056">
        <w:rPr>
          <w:rFonts w:ascii="Arial" w:hAnsi="Arial" w:cs="Arial"/>
        </w:rPr>
        <w:t>Read case; compute baseline error rate, detection time, and flagged transactions by section; draft a one</w:t>
      </w:r>
      <w:r w:rsidRPr="00F51056">
        <w:rPr>
          <w:rFonts w:ascii="Cambria Math" w:hAnsi="Cambria Math" w:cs="Cambria Math"/>
        </w:rPr>
        <w:t>‑</w:t>
      </w:r>
      <w:r w:rsidRPr="00F51056">
        <w:rPr>
          <w:rFonts w:ascii="Arial" w:hAnsi="Arial" w:cs="Arial"/>
        </w:rPr>
        <w:t>page memo with validation stack and escalation path.</w:t>
      </w:r>
    </w:p>
    <w:p w14:paraId="470E4280" w14:textId="77777777" w:rsidR="00F51056" w:rsidRPr="00F51056" w:rsidRDefault="00F51056" w:rsidP="00F51056">
      <w:pPr>
        <w:spacing w:after="120"/>
        <w:jc w:val="both"/>
        <w:rPr>
          <w:rFonts w:ascii="Arial" w:hAnsi="Arial" w:cs="Arial"/>
          <w:b/>
          <w:bCs/>
        </w:rPr>
      </w:pPr>
      <w:r w:rsidRPr="00F51056">
        <w:rPr>
          <w:rFonts w:ascii="Arial" w:hAnsi="Arial" w:cs="Arial"/>
          <w:b/>
          <w:bCs/>
        </w:rPr>
        <w:t>In class flow (minute by minute)</w:t>
      </w:r>
    </w:p>
    <w:p w14:paraId="091A0950"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t>0–10: Hook and penalty</w:t>
      </w:r>
      <w:r w:rsidRPr="00F51056">
        <w:rPr>
          <w:rFonts w:ascii="Cambria Math" w:hAnsi="Cambria Math" w:cs="Cambria Math"/>
        </w:rPr>
        <w:t>‑</w:t>
      </w:r>
      <w:r w:rsidRPr="00F51056">
        <w:rPr>
          <w:rFonts w:ascii="Arial" w:hAnsi="Arial" w:cs="Arial"/>
        </w:rPr>
        <w:t>risk vignette</w:t>
      </w:r>
    </w:p>
    <w:p w14:paraId="46E3E940"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t>10–25: Baselining and error archetypes</w:t>
      </w:r>
    </w:p>
    <w:p w14:paraId="30781604"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t>25–45: Team design of validation stack, dashboards, and exception paths</w:t>
      </w:r>
    </w:p>
    <w:p w14:paraId="09F16229"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lastRenderedPageBreak/>
        <w:t>45–65: Plenary on rollout sequencing and KPI thresholds</w:t>
      </w:r>
    </w:p>
    <w:p w14:paraId="0C4F760C"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t>65–75: Synthesis into a ninety</w:t>
      </w:r>
      <w:r w:rsidRPr="00F51056">
        <w:rPr>
          <w:rFonts w:ascii="Cambria Math" w:hAnsi="Cambria Math" w:cs="Cambria Math"/>
        </w:rPr>
        <w:t>‑</w:t>
      </w:r>
      <w:r w:rsidRPr="00F51056">
        <w:rPr>
          <w:rFonts w:ascii="Arial" w:hAnsi="Arial" w:cs="Arial"/>
        </w:rPr>
        <w:t>day plan and risk mitigations</w:t>
      </w:r>
    </w:p>
    <w:p w14:paraId="5F7051D8" w14:textId="77777777" w:rsidR="00F51056" w:rsidRPr="00F51056" w:rsidRDefault="00F51056" w:rsidP="00F51056">
      <w:pPr>
        <w:spacing w:after="120"/>
        <w:jc w:val="both"/>
        <w:rPr>
          <w:rFonts w:ascii="Arial" w:hAnsi="Arial" w:cs="Arial"/>
          <w:b/>
          <w:bCs/>
        </w:rPr>
      </w:pPr>
      <w:r w:rsidRPr="00F51056">
        <w:rPr>
          <w:rFonts w:ascii="Arial" w:hAnsi="Arial" w:cs="Arial"/>
          <w:b/>
          <w:bCs/>
        </w:rPr>
        <w:t>Analysis path (solution outline)</w:t>
      </w:r>
    </w:p>
    <w:p w14:paraId="7300C11A" w14:textId="77777777" w:rsidR="00F51056" w:rsidRPr="00F51056" w:rsidRDefault="00F51056" w:rsidP="00F51056">
      <w:pPr>
        <w:spacing w:after="120"/>
        <w:jc w:val="both"/>
        <w:rPr>
          <w:rFonts w:ascii="Arial" w:hAnsi="Arial" w:cs="Arial"/>
        </w:rPr>
      </w:pPr>
      <w:r w:rsidRPr="00F51056">
        <w:rPr>
          <w:rFonts w:ascii="Arial" w:hAnsi="Arial" w:cs="Arial"/>
        </w:rPr>
        <w:t>Map end</w:t>
      </w:r>
      <w:r w:rsidRPr="00F51056">
        <w:rPr>
          <w:rFonts w:ascii="Cambria Math" w:hAnsi="Cambria Math" w:cs="Cambria Math"/>
        </w:rPr>
        <w:t>‑</w:t>
      </w:r>
      <w:r w:rsidRPr="00F51056">
        <w:rPr>
          <w:rFonts w:ascii="Arial" w:hAnsi="Arial" w:cs="Arial"/>
        </w:rPr>
        <w:t>to</w:t>
      </w:r>
      <w:r w:rsidRPr="00F51056">
        <w:rPr>
          <w:rFonts w:ascii="Cambria Math" w:hAnsi="Cambria Math" w:cs="Cambria Math"/>
        </w:rPr>
        <w:t>‑</w:t>
      </w:r>
      <w:r w:rsidRPr="00F51056">
        <w:rPr>
          <w:rFonts w:ascii="Arial" w:hAnsi="Arial" w:cs="Arial"/>
        </w:rPr>
        <w:t>end process; quantify impact of PAN/challan/section errors; specify dashboard cuts; design exception taxonomy and SLAs; define governance cadence.</w:t>
      </w:r>
    </w:p>
    <w:p w14:paraId="7EFD0963" w14:textId="77777777" w:rsidR="00F51056" w:rsidRPr="00F51056" w:rsidRDefault="00F51056" w:rsidP="00F51056">
      <w:pPr>
        <w:spacing w:after="120"/>
        <w:jc w:val="both"/>
        <w:rPr>
          <w:rFonts w:ascii="Arial" w:hAnsi="Arial" w:cs="Arial"/>
          <w:b/>
          <w:bCs/>
        </w:rPr>
      </w:pPr>
      <w:r w:rsidRPr="00F51056">
        <w:rPr>
          <w:rFonts w:ascii="Arial" w:hAnsi="Arial" w:cs="Arial"/>
          <w:b/>
          <w:bCs/>
        </w:rPr>
        <w:t>Quantitative tasks</w:t>
      </w:r>
    </w:p>
    <w:p w14:paraId="4C5E2069"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t>Recompute the error rate after validation gates and estimate hour</w:t>
      </w:r>
      <w:r w:rsidRPr="00F51056">
        <w:rPr>
          <w:rFonts w:ascii="Cambria Math" w:hAnsi="Cambria Math" w:cs="Cambria Math"/>
        </w:rPr>
        <w:t>‑</w:t>
      </w:r>
      <w:r w:rsidRPr="00F51056">
        <w:rPr>
          <w:rFonts w:ascii="Arial" w:hAnsi="Arial" w:cs="Arial"/>
        </w:rPr>
        <w:t>savings from automation.</w:t>
      </w:r>
    </w:p>
    <w:p w14:paraId="520E4950"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t>Simulate penalty exposure avoided under Sections 234E and 271H at different timeliness levels.</w:t>
      </w:r>
    </w:p>
    <w:p w14:paraId="091F74DB" w14:textId="77777777" w:rsidR="00F51056" w:rsidRPr="00F51056" w:rsidRDefault="00F51056" w:rsidP="00F51056">
      <w:pPr>
        <w:spacing w:after="120"/>
        <w:jc w:val="both"/>
        <w:rPr>
          <w:rFonts w:ascii="Arial" w:hAnsi="Arial" w:cs="Arial"/>
          <w:b/>
          <w:bCs/>
        </w:rPr>
      </w:pPr>
      <w:r w:rsidRPr="00F51056">
        <w:rPr>
          <w:rFonts w:ascii="Arial" w:hAnsi="Arial" w:cs="Arial"/>
          <w:b/>
          <w:bCs/>
        </w:rPr>
        <w:t>Qualitative tasks</w:t>
      </w:r>
    </w:p>
    <w:p w14:paraId="16D2B387" w14:textId="77777777" w:rsidR="00F51056" w:rsidRPr="00F51056" w:rsidRDefault="00F51056" w:rsidP="00F51056">
      <w:pPr>
        <w:numPr>
          <w:ilvl w:val="0"/>
          <w:numId w:val="1"/>
        </w:numPr>
        <w:spacing w:after="120"/>
        <w:jc w:val="both"/>
        <w:rPr>
          <w:rFonts w:ascii="Arial" w:hAnsi="Arial" w:cs="Arial"/>
        </w:rPr>
      </w:pPr>
      <w:r w:rsidRPr="00F51056">
        <w:rPr>
          <w:rFonts w:ascii="Arial" w:hAnsi="Arial" w:cs="Arial"/>
        </w:rPr>
        <w:t>Draft training modules, checklists, and coaching scripts for recurring misclassifications.</w:t>
      </w:r>
    </w:p>
    <w:p w14:paraId="2C3DFDD6" w14:textId="77777777" w:rsidR="00F51056" w:rsidRPr="00F51056" w:rsidRDefault="00F51056" w:rsidP="00F51056">
      <w:pPr>
        <w:spacing w:after="120"/>
        <w:jc w:val="both"/>
        <w:rPr>
          <w:rFonts w:ascii="Arial" w:hAnsi="Arial" w:cs="Arial"/>
          <w:b/>
          <w:bCs/>
        </w:rPr>
      </w:pPr>
      <w:r w:rsidRPr="00F51056">
        <w:rPr>
          <w:rFonts w:ascii="Arial" w:hAnsi="Arial" w:cs="Arial"/>
          <w:b/>
          <w:bCs/>
        </w:rPr>
        <w:t>Discussion guide</w:t>
      </w:r>
    </w:p>
    <w:p w14:paraId="613FD2A2" w14:textId="77777777" w:rsidR="00F51056" w:rsidRPr="00F51056" w:rsidRDefault="00F51056" w:rsidP="00F51056">
      <w:pPr>
        <w:spacing w:after="120"/>
        <w:jc w:val="both"/>
        <w:rPr>
          <w:rFonts w:ascii="Arial" w:hAnsi="Arial" w:cs="Arial"/>
        </w:rPr>
      </w:pPr>
      <w:r w:rsidRPr="00F51056">
        <w:rPr>
          <w:rFonts w:ascii="Arial" w:hAnsi="Arial" w:cs="Arial"/>
        </w:rPr>
        <w:t>Start with the largest error cluster; stress</w:t>
      </w:r>
      <w:r w:rsidRPr="00F51056">
        <w:rPr>
          <w:rFonts w:ascii="Cambria Math" w:hAnsi="Cambria Math" w:cs="Cambria Math"/>
        </w:rPr>
        <w:t>‑</w:t>
      </w:r>
      <w:r w:rsidRPr="00F51056">
        <w:rPr>
          <w:rFonts w:ascii="Arial" w:hAnsi="Arial" w:cs="Arial"/>
        </w:rPr>
        <w:t xml:space="preserve">test exception routes with boundary cases; </w:t>
      </w:r>
      <w:proofErr w:type="spellStart"/>
      <w:r w:rsidRPr="00F51056">
        <w:rPr>
          <w:rFonts w:ascii="Arial" w:hAnsi="Arial" w:cs="Arial"/>
        </w:rPr>
        <w:t>finalise</w:t>
      </w:r>
      <w:proofErr w:type="spellEnd"/>
      <w:r w:rsidRPr="00F51056">
        <w:rPr>
          <w:rFonts w:ascii="Arial" w:hAnsi="Arial" w:cs="Arial"/>
        </w:rPr>
        <w:t xml:space="preserve"> a minimal yet complete scorecard and two coaching cycles.</w:t>
      </w:r>
    </w:p>
    <w:p w14:paraId="68806D29" w14:textId="77777777" w:rsidR="00F51056" w:rsidRPr="00F51056" w:rsidRDefault="00F51056" w:rsidP="00F51056">
      <w:pPr>
        <w:spacing w:after="120"/>
        <w:jc w:val="both"/>
        <w:rPr>
          <w:rFonts w:ascii="Arial" w:hAnsi="Arial" w:cs="Arial"/>
          <w:b/>
          <w:bCs/>
        </w:rPr>
      </w:pPr>
      <w:r w:rsidRPr="00F51056">
        <w:rPr>
          <w:rFonts w:ascii="Arial" w:hAnsi="Arial" w:cs="Arial"/>
          <w:b/>
          <w:bCs/>
        </w:rPr>
        <w:t>Assessment rubric</w:t>
      </w:r>
    </w:p>
    <w:p w14:paraId="21E8B5B5" w14:textId="77777777" w:rsidR="00F51056" w:rsidRPr="00F51056" w:rsidRDefault="00F51056" w:rsidP="00F51056">
      <w:pPr>
        <w:spacing w:after="120"/>
        <w:ind w:firstLine="720"/>
        <w:jc w:val="both"/>
        <w:rPr>
          <w:rFonts w:ascii="Arial" w:hAnsi="Arial" w:cs="Arial"/>
        </w:rPr>
      </w:pPr>
      <w:r w:rsidRPr="00F51056">
        <w:rPr>
          <w:rFonts w:ascii="Arial" w:hAnsi="Arial" w:cs="Arial"/>
        </w:rPr>
        <w:t>Logic and structure 40; Evidence and calculations 40; Clarity and persuasion 20.</w:t>
      </w:r>
    </w:p>
    <w:p w14:paraId="778FA53C" w14:textId="77777777" w:rsidR="00F51056" w:rsidRPr="00F51056" w:rsidRDefault="00F51056" w:rsidP="00F51056">
      <w:pPr>
        <w:spacing w:after="120"/>
        <w:jc w:val="both"/>
        <w:rPr>
          <w:rFonts w:ascii="Arial" w:hAnsi="Arial" w:cs="Arial"/>
          <w:b/>
          <w:bCs/>
        </w:rPr>
      </w:pPr>
      <w:r w:rsidRPr="00F51056">
        <w:rPr>
          <w:rFonts w:ascii="Arial" w:hAnsi="Arial" w:cs="Arial"/>
          <w:b/>
          <w:bCs/>
        </w:rPr>
        <w:t xml:space="preserve">References </w:t>
      </w:r>
    </w:p>
    <w:p w14:paraId="3D746374" w14:textId="77777777" w:rsidR="00F51056" w:rsidRPr="00F51056" w:rsidRDefault="00F51056" w:rsidP="00F51056">
      <w:pPr>
        <w:spacing w:after="120"/>
        <w:ind w:left="720" w:hanging="720"/>
        <w:jc w:val="both"/>
        <w:rPr>
          <w:rFonts w:ascii="Arial" w:hAnsi="Arial" w:cs="Arial"/>
        </w:rPr>
      </w:pPr>
      <w:proofErr w:type="spellStart"/>
      <w:r w:rsidRPr="00F51056">
        <w:rPr>
          <w:rFonts w:ascii="Arial" w:hAnsi="Arial" w:cs="Arial"/>
        </w:rPr>
        <w:t>Amershi</w:t>
      </w:r>
      <w:proofErr w:type="spellEnd"/>
      <w:r w:rsidRPr="00F51056">
        <w:rPr>
          <w:rFonts w:ascii="Arial" w:hAnsi="Arial" w:cs="Arial"/>
        </w:rPr>
        <w:t xml:space="preserve">, S., Weld, D., </w:t>
      </w:r>
      <w:proofErr w:type="spellStart"/>
      <w:r w:rsidRPr="00F51056">
        <w:rPr>
          <w:rFonts w:ascii="Arial" w:hAnsi="Arial" w:cs="Arial"/>
        </w:rPr>
        <w:t>Vorvoreanu</w:t>
      </w:r>
      <w:proofErr w:type="spellEnd"/>
      <w:r w:rsidRPr="00F51056">
        <w:rPr>
          <w:rFonts w:ascii="Arial" w:hAnsi="Arial" w:cs="Arial"/>
        </w:rPr>
        <w:t xml:space="preserve">, M., Fourney, A., Nushi, B., </w:t>
      </w:r>
      <w:proofErr w:type="spellStart"/>
      <w:r w:rsidRPr="00F51056">
        <w:rPr>
          <w:rFonts w:ascii="Arial" w:hAnsi="Arial" w:cs="Arial"/>
        </w:rPr>
        <w:t>Collisson</w:t>
      </w:r>
      <w:proofErr w:type="spellEnd"/>
      <w:r w:rsidRPr="00F51056">
        <w:rPr>
          <w:rFonts w:ascii="Arial" w:hAnsi="Arial" w:cs="Arial"/>
        </w:rPr>
        <w:t>, P., ... &amp; Horvitz, E. (2019). Guidelines for Human–AI Interaction. Proceedings of the 2019 CHI Conference on Human Factors in Computing Systems. https://doi.org/10.1145/3290605.3300233</w:t>
      </w:r>
    </w:p>
    <w:p w14:paraId="351836A7" w14:textId="77777777" w:rsidR="00F51056" w:rsidRPr="00F51056" w:rsidRDefault="00F51056" w:rsidP="00F51056">
      <w:pPr>
        <w:spacing w:after="120"/>
        <w:ind w:left="720" w:hanging="720"/>
        <w:jc w:val="both"/>
        <w:rPr>
          <w:rFonts w:ascii="Arial" w:hAnsi="Arial" w:cs="Arial"/>
        </w:rPr>
      </w:pPr>
      <w:r w:rsidRPr="00F51056">
        <w:rPr>
          <w:rFonts w:ascii="Arial" w:hAnsi="Arial" w:cs="Arial"/>
        </w:rPr>
        <w:lastRenderedPageBreak/>
        <w:t xml:space="preserve">Jans, M., Alles, M. G., &amp; </w:t>
      </w:r>
      <w:proofErr w:type="spellStart"/>
      <w:r w:rsidRPr="00F51056">
        <w:rPr>
          <w:rFonts w:ascii="Arial" w:hAnsi="Arial" w:cs="Arial"/>
        </w:rPr>
        <w:t>Vasarhelyi</w:t>
      </w:r>
      <w:proofErr w:type="spellEnd"/>
      <w:r w:rsidRPr="00F51056">
        <w:rPr>
          <w:rFonts w:ascii="Arial" w:hAnsi="Arial" w:cs="Arial"/>
        </w:rPr>
        <w:t>, M. A. (2014). Process mining in auditing: Data analytics and continuous assurance. Computers in Industry, 64(1), 1–7.</w:t>
      </w:r>
    </w:p>
    <w:p w14:paraId="7CF57284" w14:textId="77777777" w:rsidR="00F51056" w:rsidRPr="00F51056" w:rsidRDefault="00F51056" w:rsidP="00F51056">
      <w:pPr>
        <w:spacing w:after="120"/>
        <w:ind w:left="720" w:hanging="720"/>
        <w:jc w:val="both"/>
        <w:rPr>
          <w:rFonts w:ascii="Arial" w:hAnsi="Arial" w:cs="Arial"/>
        </w:rPr>
      </w:pPr>
      <w:r w:rsidRPr="00F51056">
        <w:rPr>
          <w:rFonts w:ascii="Arial" w:hAnsi="Arial" w:cs="Arial"/>
        </w:rPr>
        <w:t>Khatri, V., &amp; Brown, C. V. (2010). Designing data governance. Communications of the ACM, 53(1), 148–152.</w:t>
      </w:r>
    </w:p>
    <w:p w14:paraId="6F372797" w14:textId="77777777" w:rsidR="00F51056" w:rsidRPr="00F51056" w:rsidRDefault="00F51056" w:rsidP="00F51056">
      <w:pPr>
        <w:spacing w:after="120"/>
        <w:ind w:left="720" w:hanging="720"/>
        <w:jc w:val="both"/>
        <w:rPr>
          <w:rFonts w:ascii="Arial" w:hAnsi="Arial" w:cs="Arial"/>
        </w:rPr>
      </w:pPr>
      <w:r w:rsidRPr="00F51056">
        <w:rPr>
          <w:rFonts w:ascii="Arial" w:hAnsi="Arial" w:cs="Arial"/>
        </w:rPr>
        <w:t>Rudin, C. (2019). Stop explaining black box machine learning models for high</w:t>
      </w:r>
      <w:r w:rsidRPr="00F51056">
        <w:rPr>
          <w:rFonts w:ascii="Cambria Math" w:hAnsi="Cambria Math" w:cs="Cambria Math"/>
        </w:rPr>
        <w:t>‑</w:t>
      </w:r>
      <w:r w:rsidRPr="00F51056">
        <w:rPr>
          <w:rFonts w:ascii="Arial" w:hAnsi="Arial" w:cs="Arial"/>
        </w:rPr>
        <w:t>stakes decisions and use interpretable models instead. Nature Machine Intelligence, 1(5), 206–215.</w:t>
      </w:r>
    </w:p>
    <w:p w14:paraId="31F6AC97" w14:textId="77777777" w:rsidR="00F51056" w:rsidRPr="00F51056" w:rsidRDefault="00F51056" w:rsidP="00F51056">
      <w:pPr>
        <w:spacing w:after="120"/>
        <w:ind w:left="720" w:hanging="720"/>
        <w:jc w:val="both"/>
        <w:rPr>
          <w:rFonts w:ascii="Arial" w:hAnsi="Arial" w:cs="Arial"/>
        </w:rPr>
      </w:pPr>
      <w:r w:rsidRPr="00F51056">
        <w:rPr>
          <w:rFonts w:ascii="Arial" w:hAnsi="Arial" w:cs="Arial"/>
        </w:rPr>
        <w:t>van der Aalst, W. M. P. (2016). Process Mining: Data Science in Action (2nd ed.). Springer.</w:t>
      </w:r>
    </w:p>
    <w:p w14:paraId="5F47E383" w14:textId="77777777" w:rsidR="00F51056" w:rsidRPr="00F51056" w:rsidRDefault="00F51056" w:rsidP="00F51056">
      <w:pPr>
        <w:spacing w:after="120"/>
        <w:ind w:left="720" w:hanging="720"/>
        <w:jc w:val="both"/>
        <w:rPr>
          <w:rFonts w:ascii="Arial" w:hAnsi="Arial" w:cs="Arial"/>
        </w:rPr>
      </w:pPr>
      <w:proofErr w:type="spellStart"/>
      <w:r w:rsidRPr="00F51056">
        <w:rPr>
          <w:rFonts w:ascii="Arial" w:hAnsi="Arial" w:cs="Arial"/>
        </w:rPr>
        <w:t>Vasarhelyi</w:t>
      </w:r>
      <w:proofErr w:type="spellEnd"/>
      <w:r w:rsidRPr="00F51056">
        <w:rPr>
          <w:rFonts w:ascii="Arial" w:hAnsi="Arial" w:cs="Arial"/>
        </w:rPr>
        <w:t>, M. A., Kogan, A., &amp; Tuttle, B. M. (2015). Big data in accounting: An overview. Journal of Information Systems, 29(2), 1–20.</w:t>
      </w:r>
    </w:p>
    <w:p w14:paraId="63EFFD71" w14:textId="77777777" w:rsidR="00F51056" w:rsidRPr="00F51056" w:rsidRDefault="00F51056" w:rsidP="00F51056">
      <w:pPr>
        <w:spacing w:after="120"/>
        <w:ind w:left="720" w:hanging="720"/>
        <w:jc w:val="both"/>
        <w:rPr>
          <w:rFonts w:ascii="Arial" w:hAnsi="Arial" w:cs="Arial"/>
        </w:rPr>
      </w:pPr>
      <w:r w:rsidRPr="00F51056">
        <w:rPr>
          <w:rFonts w:ascii="Arial" w:hAnsi="Arial" w:cs="Arial"/>
        </w:rPr>
        <w:t>Wang, R. Y., &amp; Strong, D. M. (1996). Beyond accuracy: What data quality means to data consumers. Journal of Management Information Systems, 12(4), 5–34.</w:t>
      </w:r>
    </w:p>
    <w:p w14:paraId="08DAC4A0" w14:textId="77777777" w:rsidR="00F51056" w:rsidRPr="00F51056" w:rsidRDefault="00F51056" w:rsidP="00F51056">
      <w:pPr>
        <w:spacing w:after="120"/>
        <w:ind w:left="720" w:hanging="720"/>
        <w:jc w:val="both"/>
        <w:rPr>
          <w:rFonts w:ascii="Arial" w:hAnsi="Arial" w:cs="Arial"/>
        </w:rPr>
      </w:pPr>
      <w:r w:rsidRPr="00F51056">
        <w:rPr>
          <w:rFonts w:ascii="Arial" w:hAnsi="Arial" w:cs="Arial"/>
        </w:rPr>
        <w:t xml:space="preserve">Willcocks, L. P., &amp; </w:t>
      </w:r>
      <w:proofErr w:type="spellStart"/>
      <w:r w:rsidRPr="00F51056">
        <w:rPr>
          <w:rFonts w:ascii="Arial" w:hAnsi="Arial" w:cs="Arial"/>
        </w:rPr>
        <w:t>Lacity</w:t>
      </w:r>
      <w:proofErr w:type="spellEnd"/>
      <w:r w:rsidRPr="00F51056">
        <w:rPr>
          <w:rFonts w:ascii="Arial" w:hAnsi="Arial" w:cs="Arial"/>
        </w:rPr>
        <w:t xml:space="preserve">, M. C. (2016). Service automation: Robots and the future of work. </w:t>
      </w:r>
      <w:proofErr w:type="spellStart"/>
      <w:r w:rsidRPr="00F51056">
        <w:rPr>
          <w:rFonts w:ascii="Arial" w:hAnsi="Arial" w:cs="Arial"/>
        </w:rPr>
        <w:t>Cognitione</w:t>
      </w:r>
      <w:proofErr w:type="spellEnd"/>
      <w:r w:rsidRPr="00F51056">
        <w:rPr>
          <w:rFonts w:ascii="Arial" w:hAnsi="Arial" w:cs="Arial"/>
        </w:rPr>
        <w:t xml:space="preserve"> / SB Publishing.</w:t>
      </w:r>
    </w:p>
    <w:p w14:paraId="61247733" w14:textId="77777777" w:rsidR="00F51056" w:rsidRPr="00F51056" w:rsidRDefault="00F51056" w:rsidP="00F51056">
      <w:pPr>
        <w:spacing w:after="120"/>
        <w:jc w:val="both"/>
        <w:rPr>
          <w:rFonts w:ascii="Arial" w:hAnsi="Arial" w:cs="Arial"/>
        </w:rPr>
      </w:pPr>
    </w:p>
    <w:sectPr w:rsidR="00F51056" w:rsidRPr="00F51056" w:rsidSect="00F51056">
      <w:type w:val="continuous"/>
      <w:pgSz w:w="11909" w:h="16834" w:code="9"/>
      <w:pgMar w:top="1440" w:right="1440" w:bottom="1440" w:left="1440" w:header="1008"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A3BC0" w14:textId="77777777" w:rsidR="00193F2C" w:rsidRDefault="00193F2C" w:rsidP="002E5725">
      <w:pPr>
        <w:spacing w:after="0" w:line="240" w:lineRule="auto"/>
      </w:pPr>
      <w:r>
        <w:separator/>
      </w:r>
    </w:p>
  </w:endnote>
  <w:endnote w:type="continuationSeparator" w:id="0">
    <w:p w14:paraId="0CC177CF" w14:textId="77777777" w:rsidR="00193F2C" w:rsidRDefault="00193F2C" w:rsidP="002E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1B69E" w14:textId="77777777" w:rsidR="00193F2C" w:rsidRDefault="00193F2C" w:rsidP="002E5725">
      <w:pPr>
        <w:spacing w:after="0" w:line="240" w:lineRule="auto"/>
      </w:pPr>
      <w:r>
        <w:separator/>
      </w:r>
    </w:p>
  </w:footnote>
  <w:footnote w:type="continuationSeparator" w:id="0">
    <w:p w14:paraId="1C6B1258" w14:textId="77777777" w:rsidR="00193F2C" w:rsidRDefault="00193F2C" w:rsidP="002E5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04517" w14:textId="57E3970D" w:rsidR="00B4315B" w:rsidRDefault="0092410D" w:rsidP="0092410D">
    <w:pPr>
      <w:pBdr>
        <w:bottom w:val="single" w:sz="4" w:space="1" w:color="auto"/>
      </w:pBdr>
      <w:spacing w:after="0" w:line="160" w:lineRule="atLeast"/>
      <w:jc w:val="both"/>
    </w:pPr>
    <w:r w:rsidRPr="00B62BAE">
      <w:rPr>
        <w:rFonts w:ascii="Arial" w:hAnsi="Arial" w:cs="Arial"/>
        <w:sz w:val="16"/>
        <w:szCs w:val="16"/>
        <w:lang w:val="en-IN"/>
      </w:rPr>
      <w:t>20</w:t>
    </w:r>
    <w:r>
      <w:rPr>
        <w:rFonts w:ascii="Arial" w:hAnsi="Arial" w:cs="Arial"/>
        <w:sz w:val="16"/>
        <w:szCs w:val="16"/>
        <w:lang w:val="en-IN"/>
      </w:rPr>
      <w:t>25</w:t>
    </w:r>
    <w:r>
      <w:rPr>
        <w:rFonts w:ascii="Arial" w:hAnsi="Arial" w:cs="Arial"/>
        <w:sz w:val="16"/>
        <w:szCs w:val="16"/>
        <w:lang w:val="en-IN"/>
      </w:rPr>
      <w:tab/>
    </w:r>
    <w:r>
      <w:rPr>
        <w:rFonts w:ascii="Arial" w:hAnsi="Arial" w:cs="Arial"/>
        <w:sz w:val="16"/>
        <w:szCs w:val="16"/>
        <w:lang w:val="en-IN"/>
      </w:rPr>
      <w:tab/>
    </w:r>
    <w:r>
      <w:rPr>
        <w:rFonts w:ascii="Arial" w:hAnsi="Arial" w:cs="Arial"/>
        <w:sz w:val="16"/>
        <w:szCs w:val="16"/>
        <w:lang w:val="en-IN"/>
      </w:rPr>
      <w:tab/>
    </w:r>
    <w:r>
      <w:rPr>
        <w:rFonts w:ascii="Arial" w:hAnsi="Arial" w:cs="Arial"/>
        <w:sz w:val="16"/>
        <w:szCs w:val="16"/>
        <w:lang w:val="en-IN"/>
      </w:rPr>
      <w:tab/>
    </w:r>
    <w:r>
      <w:rPr>
        <w:rFonts w:ascii="Arial" w:hAnsi="Arial" w:cs="Arial"/>
        <w:sz w:val="16"/>
        <w:szCs w:val="16"/>
        <w:lang w:val="en-IN"/>
      </w:rPr>
      <w:tab/>
    </w:r>
    <w:r w:rsidRPr="0092410D">
      <w:rPr>
        <w:rFonts w:ascii="Arial" w:hAnsi="Arial" w:cs="Arial"/>
        <w:i/>
        <w:iCs/>
        <w:sz w:val="16"/>
        <w:szCs w:val="16"/>
        <w:lang w:val="en-IN"/>
      </w:rPr>
      <w:t>Mithil Udupa, Dr. M. K. Lodi</w:t>
    </w:r>
    <w:r w:rsidRPr="00B62BAE">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B4315B" w:rsidRPr="00B62BAE">
      <w:rPr>
        <w:rFonts w:ascii="Arial" w:hAnsi="Arial" w:cs="Arial"/>
        <w:sz w:val="16"/>
        <w:szCs w:val="16"/>
      </w:rPr>
      <w:fldChar w:fldCharType="begin"/>
    </w:r>
    <w:r w:rsidR="00B4315B" w:rsidRPr="00B62BAE">
      <w:rPr>
        <w:rFonts w:ascii="Arial" w:hAnsi="Arial" w:cs="Arial"/>
        <w:sz w:val="16"/>
        <w:szCs w:val="16"/>
      </w:rPr>
      <w:instrText xml:space="preserve"> PAGE   \* MERGEFORMAT </w:instrText>
    </w:r>
    <w:r w:rsidR="00B4315B" w:rsidRPr="00B62BAE">
      <w:rPr>
        <w:rFonts w:ascii="Arial" w:hAnsi="Arial" w:cs="Arial"/>
        <w:sz w:val="16"/>
        <w:szCs w:val="16"/>
      </w:rPr>
      <w:fldChar w:fldCharType="separate"/>
    </w:r>
    <w:r w:rsidR="00633C7F">
      <w:rPr>
        <w:rFonts w:ascii="Arial" w:hAnsi="Arial" w:cs="Arial"/>
        <w:noProof/>
        <w:sz w:val="16"/>
        <w:szCs w:val="16"/>
      </w:rPr>
      <w:t>12</w:t>
    </w:r>
    <w:r w:rsidR="00B4315B" w:rsidRPr="00B62BAE">
      <w:rPr>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24F53" w14:textId="62D09815" w:rsidR="0092410D" w:rsidRPr="008C0557" w:rsidRDefault="0092410D" w:rsidP="0092410D">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633C7F">
      <w:rPr>
        <w:rFonts w:ascii="Arial" w:hAnsi="Arial" w:cs="Arial"/>
        <w:noProof/>
        <w:sz w:val="16"/>
        <w:szCs w:val="16"/>
      </w:rPr>
      <w:t>13</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sidR="00633C7F">
      <w:rPr>
        <w:rFonts w:ascii="Arial" w:eastAsia="Arial" w:hAnsi="Arial" w:cs="Arial"/>
        <w:i/>
        <w:color w:val="000000"/>
        <w:spacing w:val="-1"/>
        <w:sz w:val="16"/>
        <w:szCs w:val="16"/>
      </w:rPr>
      <w:t xml:space="preserve">     Dec</w:t>
    </w:r>
    <w:r>
      <w:rPr>
        <w:rFonts w:ascii="Arial" w:eastAsia="Arial" w:hAnsi="Arial" w:cs="Arial"/>
        <w:i/>
        <w:color w:val="000000"/>
        <w:spacing w:val="-1"/>
        <w:sz w:val="16"/>
        <w:szCs w:val="16"/>
      </w:rPr>
      <w:t>ember</w:t>
    </w:r>
  </w:p>
  <w:p w14:paraId="58177157" w14:textId="77777777" w:rsidR="002E5725" w:rsidRDefault="002E5725" w:rsidP="002E5725">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987065C"/>
    <w:multiLevelType w:val="hybridMultilevel"/>
    <w:tmpl w:val="729406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32FA"/>
    <w:rsid w:val="0006063C"/>
    <w:rsid w:val="0015074B"/>
    <w:rsid w:val="00193F2C"/>
    <w:rsid w:val="00246D16"/>
    <w:rsid w:val="0029639D"/>
    <w:rsid w:val="002E5725"/>
    <w:rsid w:val="003033ED"/>
    <w:rsid w:val="00326F90"/>
    <w:rsid w:val="004E5565"/>
    <w:rsid w:val="00633C7F"/>
    <w:rsid w:val="00643B0B"/>
    <w:rsid w:val="007858D0"/>
    <w:rsid w:val="007E0FCD"/>
    <w:rsid w:val="007E5165"/>
    <w:rsid w:val="00840A68"/>
    <w:rsid w:val="008D6113"/>
    <w:rsid w:val="0092410D"/>
    <w:rsid w:val="009D677D"/>
    <w:rsid w:val="00A85DBA"/>
    <w:rsid w:val="00AA1D8D"/>
    <w:rsid w:val="00B2776C"/>
    <w:rsid w:val="00B4315B"/>
    <w:rsid w:val="00B47730"/>
    <w:rsid w:val="00BA3FF6"/>
    <w:rsid w:val="00BD1E9B"/>
    <w:rsid w:val="00C40923"/>
    <w:rsid w:val="00CB0664"/>
    <w:rsid w:val="00EA1D90"/>
    <w:rsid w:val="00ED31D9"/>
    <w:rsid w:val="00F51056"/>
    <w:rsid w:val="00FC474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031D5"/>
  <w14:defaultImageDpi w14:val="300"/>
  <w15:docId w15:val="{B9D190D2-6A8B-42CB-AA2A-37172EF2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7D"/>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
    <w:name w:val="Body"/>
    <w:rPr>
      <w:rFonts w:ascii="Calibri" w:hAnsi="Calibri"/>
    </w:rPr>
  </w:style>
  <w:style w:type="paragraph" w:customStyle="1" w:styleId="Default">
    <w:name w:val="Default"/>
    <w:rsid w:val="002E5725"/>
    <w:pPr>
      <w:autoSpaceDE w:val="0"/>
      <w:autoSpaceDN w:val="0"/>
      <w:adjustRightInd w:val="0"/>
      <w:spacing w:after="0" w:line="240" w:lineRule="auto"/>
    </w:pPr>
    <w:rPr>
      <w:rFonts w:ascii="Arial" w:hAnsi="Arial" w:cs="Arial"/>
      <w:color w:val="000000"/>
      <w:sz w:val="24"/>
      <w:szCs w:val="24"/>
      <w:lang w:val="en-IN"/>
    </w:rPr>
  </w:style>
  <w:style w:type="character" w:styleId="Hyperlink">
    <w:name w:val="Hyperlink"/>
    <w:basedOn w:val="DefaultParagraphFont"/>
    <w:uiPriority w:val="99"/>
    <w:unhideWhenUsed/>
    <w:rsid w:val="008D6113"/>
    <w:rPr>
      <w:color w:val="0000FF" w:themeColor="hyperlink"/>
      <w:u w:val="single"/>
    </w:rPr>
  </w:style>
  <w:style w:type="character" w:customStyle="1" w:styleId="UnresolvedMention">
    <w:name w:val="Unresolved Mention"/>
    <w:basedOn w:val="DefaultParagraphFont"/>
    <w:uiPriority w:val="99"/>
    <w:semiHidden/>
    <w:unhideWhenUsed/>
    <w:rsid w:val="008D6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75869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EA23D-E60C-4F97-957D-F1DEF350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2635</Words>
  <Characters>15021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CMS-STAFF139</cp:lastModifiedBy>
  <cp:revision>18</cp:revision>
  <dcterms:created xsi:type="dcterms:W3CDTF">2025-10-24T09:08:00Z</dcterms:created>
  <dcterms:modified xsi:type="dcterms:W3CDTF">2025-11-25T05:02:00Z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2025-10-28T04:38:17Z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8b91d481-e0da-4040-a668-eb614f5cc88e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