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73386" w14:textId="77777777" w:rsidR="00670FFD" w:rsidRPr="00FA13C3" w:rsidRDefault="00670FFD" w:rsidP="00670FFD">
      <w:pPr>
        <w:spacing w:after="0" w:line="160" w:lineRule="atLeast"/>
        <w:jc w:val="both"/>
        <w:rPr>
          <w:rFonts w:ascii="Arial" w:eastAsia="Arial" w:hAnsi="Arial" w:cs="Arial"/>
          <w:i/>
          <w:color w:val="000000"/>
          <w:spacing w:val="-1"/>
          <w:sz w:val="14"/>
          <w:szCs w:val="14"/>
        </w:rPr>
      </w:pPr>
      <w:bookmarkStart w:id="0" w:name="_Hlk214371776"/>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Pr="00812D87">
        <w:rPr>
          <w:rFonts w:ascii="Arial" w:eastAsia="Arial" w:hAnsi="Arial" w:cs="Arial"/>
          <w:i/>
          <w:color w:val="000000" w:themeColor="text1"/>
          <w:spacing w:val="-1"/>
          <w:sz w:val="14"/>
          <w:szCs w:val="14"/>
        </w:rPr>
        <w:t>ISSN:2227-1287</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p>
    <w:p w14:paraId="2AD05F0B" w14:textId="1B7F1A39" w:rsidR="00670FFD" w:rsidRDefault="00670FFD" w:rsidP="00670FFD">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sidR="00A96ABA">
        <w:rPr>
          <w:rFonts w:ascii="Arial" w:eastAsia="Arial" w:hAnsi="Arial" w:cs="Arial"/>
          <w:i/>
          <w:color w:val="000000"/>
          <w:spacing w:val="-1"/>
          <w:sz w:val="14"/>
          <w:szCs w:val="14"/>
        </w:rPr>
        <w:t>Dece</w:t>
      </w:r>
      <w:r>
        <w:rPr>
          <w:rFonts w:ascii="Arial" w:eastAsia="Arial" w:hAnsi="Arial" w:cs="Arial"/>
          <w:i/>
          <w:color w:val="000000"/>
          <w:spacing w:val="-1"/>
          <w:sz w:val="14"/>
          <w:szCs w:val="14"/>
        </w:rPr>
        <w:t>mber</w:t>
      </w:r>
      <w:r w:rsidRPr="00DF2646">
        <w:rPr>
          <w:rFonts w:ascii="Arial" w:eastAsia="Arial" w:hAnsi="Arial" w:cs="Arial"/>
          <w:i/>
          <w:color w:val="000000"/>
          <w:spacing w:val="-1"/>
          <w:sz w:val="14"/>
          <w:szCs w:val="14"/>
        </w:rPr>
        <w:t xml:space="preserve"> 2025</w:t>
      </w:r>
    </w:p>
    <w:p w14:paraId="17C60432" w14:textId="39EE3CE9" w:rsidR="00A96ABA" w:rsidRPr="00FA13C3" w:rsidRDefault="00A96ABA" w:rsidP="00670FFD">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pacing w:val="-1"/>
          <w:sz w:val="14"/>
          <w:szCs w:val="14"/>
        </w:rPr>
        <w:t>DOI:</w:t>
      </w:r>
      <w:r w:rsidRPr="00A96ABA">
        <w:t xml:space="preserve"> </w:t>
      </w:r>
      <w:hyperlink r:id="rId7" w:tgtFrame="_blank" w:history="1">
        <w:r w:rsidRPr="00A96ABA">
          <w:rPr>
            <w:rStyle w:val="Hyperlink"/>
            <w:rFonts w:ascii="Arial" w:eastAsia="Arial" w:hAnsi="Arial" w:cs="Arial"/>
            <w:i/>
            <w:spacing w:val="-1"/>
            <w:sz w:val="14"/>
            <w:szCs w:val="14"/>
          </w:rPr>
          <w:t>https://doi.org/10.5281/zenodo.17698272</w:t>
        </w:r>
      </w:hyperlink>
    </w:p>
    <w:bookmarkEnd w:id="0"/>
    <w:p w14:paraId="3399D4EF" w14:textId="77777777" w:rsidR="00670FFD" w:rsidRPr="00670FFD" w:rsidRDefault="00670FFD" w:rsidP="00F86616">
      <w:pPr>
        <w:jc w:val="center"/>
        <w:rPr>
          <w:rFonts w:ascii="Times New Roman" w:hAnsi="Times New Roman" w:cs="Times New Roman"/>
          <w:b/>
          <w:bCs/>
          <w:sz w:val="8"/>
          <w:szCs w:val="8"/>
        </w:rPr>
      </w:pPr>
    </w:p>
    <w:p w14:paraId="1E401A46" w14:textId="28E350A7" w:rsidR="00F86616" w:rsidRDefault="00F86616" w:rsidP="00F86616">
      <w:pPr>
        <w:jc w:val="center"/>
        <w:rPr>
          <w:rFonts w:ascii="Times New Roman" w:hAnsi="Times New Roman" w:cs="Times New Roman"/>
          <w:b/>
          <w:bCs/>
          <w:sz w:val="32"/>
          <w:szCs w:val="32"/>
        </w:rPr>
      </w:pPr>
      <w:r w:rsidRPr="00670FFD">
        <w:rPr>
          <w:rFonts w:ascii="Times New Roman" w:hAnsi="Times New Roman" w:cs="Times New Roman"/>
          <w:b/>
          <w:bCs/>
          <w:sz w:val="32"/>
          <w:szCs w:val="32"/>
        </w:rPr>
        <w:t>Reliability by Design: Winning Mercedes-Benz Through Compliance and Logistics Discipline</w:t>
      </w:r>
    </w:p>
    <w:p w14:paraId="505BB4D2" w14:textId="77777777" w:rsidR="00670FFD" w:rsidRPr="00670FFD" w:rsidRDefault="00670FFD" w:rsidP="00F86616">
      <w:pPr>
        <w:jc w:val="center"/>
        <w:rPr>
          <w:rFonts w:ascii="Times New Roman" w:hAnsi="Times New Roman" w:cs="Times New Roman"/>
          <w:b/>
          <w:bCs/>
          <w:sz w:val="2"/>
          <w:szCs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3960"/>
      </w:tblGrid>
      <w:tr w:rsidR="00670FFD" w14:paraId="099381E5" w14:textId="77777777" w:rsidTr="00A96ABA">
        <w:trPr>
          <w:trHeight w:val="478"/>
          <w:jc w:val="center"/>
        </w:trPr>
        <w:tc>
          <w:tcPr>
            <w:tcW w:w="3865" w:type="dxa"/>
          </w:tcPr>
          <w:p w14:paraId="70ED7880" w14:textId="77777777" w:rsidR="00670FFD" w:rsidRPr="00670FFD" w:rsidRDefault="00670FFD" w:rsidP="00670FFD">
            <w:pPr>
              <w:jc w:val="center"/>
              <w:rPr>
                <w:rFonts w:ascii="Calibri" w:hAnsi="Calibri" w:cs="Calibri"/>
                <w:b/>
                <w:bCs/>
                <w:i/>
                <w:iCs/>
                <w:sz w:val="16"/>
                <w:szCs w:val="16"/>
              </w:rPr>
            </w:pPr>
            <w:r w:rsidRPr="00670FFD">
              <w:rPr>
                <w:rFonts w:ascii="Calibri" w:hAnsi="Calibri" w:cs="Calibri"/>
                <w:b/>
                <w:bCs/>
                <w:i/>
                <w:iCs/>
                <w:sz w:val="16"/>
                <w:szCs w:val="16"/>
              </w:rPr>
              <w:t>Mehul Kumar Jain</w:t>
            </w:r>
          </w:p>
          <w:p w14:paraId="0AD84D90" w14:textId="77777777" w:rsidR="00670FFD" w:rsidRDefault="00670FFD" w:rsidP="00670FFD">
            <w:pPr>
              <w:jc w:val="center"/>
              <w:rPr>
                <w:rFonts w:ascii="Calibri" w:hAnsi="Calibri" w:cs="Calibri"/>
                <w:sz w:val="16"/>
                <w:szCs w:val="16"/>
              </w:rPr>
            </w:pPr>
            <w:r w:rsidRPr="00670FFD">
              <w:rPr>
                <w:rFonts w:ascii="Calibri" w:hAnsi="Calibri" w:cs="Calibri"/>
                <w:sz w:val="16"/>
                <w:szCs w:val="16"/>
              </w:rPr>
              <w:t xml:space="preserve">MBA Student, Faculty of Management Studies, </w:t>
            </w:r>
          </w:p>
          <w:p w14:paraId="3654A5DB" w14:textId="77777777" w:rsidR="00670FFD" w:rsidRDefault="00670FFD" w:rsidP="00670FFD">
            <w:pPr>
              <w:jc w:val="center"/>
              <w:rPr>
                <w:rFonts w:ascii="Calibri" w:hAnsi="Calibri" w:cs="Calibri"/>
                <w:sz w:val="16"/>
                <w:szCs w:val="16"/>
              </w:rPr>
            </w:pPr>
            <w:r w:rsidRPr="00670FFD">
              <w:rPr>
                <w:rFonts w:ascii="Calibri" w:hAnsi="Calibri" w:cs="Calibri"/>
                <w:sz w:val="16"/>
                <w:szCs w:val="16"/>
              </w:rPr>
              <w:t xml:space="preserve">CMS Business School, JAIN (Deemed-to-be University), </w:t>
            </w:r>
          </w:p>
          <w:p w14:paraId="0FB434F7" w14:textId="05BB5C05" w:rsidR="00670FFD" w:rsidRPr="00670FFD" w:rsidRDefault="00670FFD" w:rsidP="00670FFD">
            <w:pPr>
              <w:jc w:val="center"/>
              <w:rPr>
                <w:rFonts w:ascii="Calibri" w:hAnsi="Calibri" w:cs="Calibri"/>
                <w:sz w:val="16"/>
                <w:szCs w:val="16"/>
              </w:rPr>
            </w:pPr>
            <w:r w:rsidRPr="00670FFD">
              <w:rPr>
                <w:rFonts w:ascii="Calibri" w:hAnsi="Calibri" w:cs="Calibri"/>
                <w:sz w:val="16"/>
                <w:szCs w:val="16"/>
              </w:rPr>
              <w:t>Bangalore, India.</w:t>
            </w:r>
          </w:p>
        </w:tc>
        <w:tc>
          <w:tcPr>
            <w:tcW w:w="3960" w:type="dxa"/>
          </w:tcPr>
          <w:p w14:paraId="00713593" w14:textId="77777777" w:rsidR="00670FFD" w:rsidRPr="00670FFD" w:rsidRDefault="00670FFD" w:rsidP="00670FFD">
            <w:pPr>
              <w:jc w:val="center"/>
              <w:rPr>
                <w:rFonts w:ascii="Calibri" w:hAnsi="Calibri" w:cs="Calibri"/>
                <w:b/>
                <w:bCs/>
                <w:i/>
                <w:iCs/>
                <w:sz w:val="16"/>
                <w:szCs w:val="16"/>
              </w:rPr>
            </w:pPr>
            <w:r w:rsidRPr="00670FFD">
              <w:rPr>
                <w:rFonts w:ascii="Calibri" w:hAnsi="Calibri" w:cs="Calibri"/>
                <w:b/>
                <w:bCs/>
                <w:i/>
                <w:iCs/>
                <w:sz w:val="16"/>
                <w:szCs w:val="16"/>
              </w:rPr>
              <w:t>Bharath Sampath</w:t>
            </w:r>
          </w:p>
          <w:p w14:paraId="01A3FA84" w14:textId="77777777" w:rsidR="00670FFD" w:rsidRDefault="00670FFD" w:rsidP="00670FFD">
            <w:pPr>
              <w:jc w:val="center"/>
              <w:rPr>
                <w:rFonts w:ascii="Calibri" w:hAnsi="Calibri" w:cs="Calibri"/>
                <w:sz w:val="16"/>
                <w:szCs w:val="16"/>
              </w:rPr>
            </w:pPr>
            <w:r w:rsidRPr="00670FFD">
              <w:rPr>
                <w:rFonts w:ascii="Calibri" w:hAnsi="Calibri" w:cs="Calibri"/>
                <w:sz w:val="16"/>
                <w:szCs w:val="16"/>
              </w:rPr>
              <w:t>Assistant Professor, Faculty of Management Studies,</w:t>
            </w:r>
          </w:p>
          <w:p w14:paraId="29ED0A92" w14:textId="77777777" w:rsidR="00670FFD" w:rsidRDefault="00670FFD" w:rsidP="00670FFD">
            <w:pPr>
              <w:jc w:val="center"/>
              <w:rPr>
                <w:rFonts w:ascii="Calibri" w:hAnsi="Calibri" w:cs="Calibri"/>
                <w:sz w:val="16"/>
                <w:szCs w:val="16"/>
              </w:rPr>
            </w:pPr>
            <w:r w:rsidRPr="00670FFD">
              <w:rPr>
                <w:rFonts w:ascii="Calibri" w:hAnsi="Calibri" w:cs="Calibri"/>
                <w:sz w:val="16"/>
                <w:szCs w:val="16"/>
              </w:rPr>
              <w:t xml:space="preserve"> CMS Business School, JAIN (Deemed-to-be University), </w:t>
            </w:r>
          </w:p>
          <w:p w14:paraId="0F60A480" w14:textId="7FC5E6E5" w:rsidR="00670FFD" w:rsidRPr="00670FFD" w:rsidRDefault="00670FFD" w:rsidP="00670FFD">
            <w:pPr>
              <w:jc w:val="center"/>
              <w:rPr>
                <w:rFonts w:ascii="Calibri" w:hAnsi="Calibri" w:cs="Calibri"/>
                <w:sz w:val="16"/>
                <w:szCs w:val="16"/>
              </w:rPr>
            </w:pPr>
            <w:r w:rsidRPr="00670FFD">
              <w:rPr>
                <w:rFonts w:ascii="Calibri" w:hAnsi="Calibri" w:cs="Calibri"/>
                <w:sz w:val="16"/>
                <w:szCs w:val="16"/>
              </w:rPr>
              <w:t xml:space="preserve">Bangalore, India. </w:t>
            </w:r>
          </w:p>
        </w:tc>
      </w:tr>
    </w:tbl>
    <w:p w14:paraId="3C4F0232" w14:textId="77777777" w:rsidR="00670FFD" w:rsidRPr="00C84CD9" w:rsidRDefault="00670FFD" w:rsidP="00F86616">
      <w:pPr>
        <w:jc w:val="center"/>
        <w:rPr>
          <w:rFonts w:ascii="Times New Roman" w:hAnsi="Times New Roman" w:cs="Times New Roman"/>
          <w:b/>
          <w:bCs/>
          <w:sz w:val="22"/>
          <w:szCs w:val="22"/>
        </w:rPr>
      </w:pPr>
    </w:p>
    <w:p w14:paraId="1C3CA90D" w14:textId="77777777" w:rsidR="00F86616" w:rsidRDefault="00F86616" w:rsidP="00670FFD">
      <w:pPr>
        <w:spacing w:after="0" w:line="240" w:lineRule="auto"/>
        <w:ind w:left="720" w:right="386"/>
        <w:jc w:val="center"/>
        <w:rPr>
          <w:rFonts w:ascii="Arial" w:hAnsi="Arial" w:cs="Arial"/>
          <w:b/>
          <w:bCs/>
          <w:sz w:val="18"/>
          <w:szCs w:val="18"/>
        </w:rPr>
      </w:pPr>
      <w:r w:rsidRPr="00670FFD">
        <w:rPr>
          <w:rFonts w:ascii="Arial" w:hAnsi="Arial" w:cs="Arial"/>
          <w:b/>
          <w:bCs/>
          <w:sz w:val="18"/>
          <w:szCs w:val="18"/>
        </w:rPr>
        <w:t>Abstract</w:t>
      </w:r>
    </w:p>
    <w:p w14:paraId="6ECE0366" w14:textId="77777777" w:rsidR="00670FFD" w:rsidRPr="00670FFD" w:rsidRDefault="00670FFD" w:rsidP="00670FFD">
      <w:pPr>
        <w:spacing w:after="0" w:line="240" w:lineRule="auto"/>
        <w:ind w:left="720" w:right="386"/>
        <w:jc w:val="both"/>
        <w:rPr>
          <w:rFonts w:ascii="Arial" w:hAnsi="Arial" w:cs="Arial"/>
          <w:b/>
          <w:bCs/>
          <w:sz w:val="18"/>
          <w:szCs w:val="18"/>
        </w:rPr>
      </w:pPr>
    </w:p>
    <w:p w14:paraId="68BFECFD" w14:textId="77777777" w:rsidR="007409D4" w:rsidRDefault="007409D4" w:rsidP="00670FFD">
      <w:pPr>
        <w:spacing w:after="0" w:line="240" w:lineRule="auto"/>
        <w:ind w:left="720" w:right="386"/>
        <w:jc w:val="both"/>
        <w:rPr>
          <w:rFonts w:ascii="Arial" w:hAnsi="Arial" w:cs="Arial"/>
          <w:sz w:val="18"/>
          <w:szCs w:val="18"/>
        </w:rPr>
      </w:pPr>
      <w:r w:rsidRPr="00670FFD">
        <w:rPr>
          <w:rFonts w:ascii="Arial" w:hAnsi="Arial" w:cs="Arial"/>
          <w:sz w:val="18"/>
          <w:szCs w:val="18"/>
        </w:rPr>
        <w:t>This case shows how Manas Electric tried to become a preferred supplier for Mercedes-Benz India. In this process, the accuracy of documentation, certification, and delivery are just as important as the price of the product.  The intern's job was very important because they had to coordinate between OEM and accredited labs, create a digital compliance repository, and set up routines for shipment visibility and structured cadence meetings.  The job of management was to balance the realities of certification lead times, the risks of supply chain disruption, and the strategic need to protect margins in a highly competitive B2B market.  Recent research on supply chain transparency and documentation highlights the importance of strong governance systems and data integrity. At the same time, research on advanced pricing mechanics finds that value-based levers and building organizational capabilities are key to protecting margins.  The literature on OTIF (On-Time-In-Full) explains how reliability becomes clear and useful to business buyers.  This case is meant to teach students how to turn their knowledge of documentation and logistics into a long-term competitive edge.  Assumptions, terminology, and contextual limitations are articulated as necessary.</w:t>
      </w:r>
    </w:p>
    <w:p w14:paraId="7AC625C2" w14:textId="77777777" w:rsidR="00670FFD" w:rsidRPr="00670FFD" w:rsidRDefault="00670FFD" w:rsidP="00670FFD">
      <w:pPr>
        <w:spacing w:after="0" w:line="240" w:lineRule="auto"/>
        <w:ind w:left="720" w:right="386"/>
        <w:jc w:val="both"/>
        <w:rPr>
          <w:rFonts w:ascii="Arial" w:hAnsi="Arial" w:cs="Arial"/>
          <w:sz w:val="18"/>
          <w:szCs w:val="18"/>
        </w:rPr>
      </w:pPr>
    </w:p>
    <w:p w14:paraId="764B5AC1" w14:textId="4F46C351" w:rsidR="00F86616" w:rsidRDefault="00F86616" w:rsidP="00670FFD">
      <w:pPr>
        <w:spacing w:after="0" w:line="240" w:lineRule="auto"/>
        <w:ind w:left="720" w:right="386"/>
        <w:jc w:val="both"/>
        <w:rPr>
          <w:rFonts w:ascii="Arial" w:hAnsi="Arial" w:cs="Arial"/>
          <w:sz w:val="18"/>
          <w:szCs w:val="18"/>
        </w:rPr>
      </w:pPr>
      <w:r w:rsidRPr="00670FFD">
        <w:rPr>
          <w:rFonts w:ascii="Arial" w:hAnsi="Arial" w:cs="Arial"/>
          <w:b/>
          <w:bCs/>
          <w:sz w:val="18"/>
          <w:szCs w:val="18"/>
        </w:rPr>
        <w:t>Keywords</w:t>
      </w:r>
      <w:r w:rsidRPr="00670FFD">
        <w:rPr>
          <w:rFonts w:ascii="Arial" w:hAnsi="Arial" w:cs="Arial"/>
          <w:sz w:val="18"/>
          <w:szCs w:val="18"/>
        </w:rPr>
        <w:t>: B2B Sales, Compliance, Documentation, Value-Based Pricing, OTIF</w:t>
      </w:r>
    </w:p>
    <w:p w14:paraId="7F141D94" w14:textId="77777777" w:rsidR="00670FFD" w:rsidRPr="00670FFD" w:rsidRDefault="00670FFD" w:rsidP="00670FFD">
      <w:pPr>
        <w:spacing w:after="0" w:line="240" w:lineRule="auto"/>
        <w:ind w:left="720" w:right="386"/>
        <w:jc w:val="both"/>
        <w:rPr>
          <w:rFonts w:ascii="Arial" w:hAnsi="Arial" w:cs="Arial"/>
          <w:sz w:val="18"/>
          <w:szCs w:val="18"/>
        </w:rPr>
      </w:pPr>
    </w:p>
    <w:p w14:paraId="13AB59E1" w14:textId="77777777" w:rsidR="00670FFD" w:rsidRDefault="00670FFD" w:rsidP="00F86616">
      <w:pPr>
        <w:jc w:val="both"/>
        <w:rPr>
          <w:rFonts w:ascii="Times New Roman" w:hAnsi="Times New Roman" w:cs="Times New Roman"/>
          <w:b/>
          <w:bCs/>
        </w:rPr>
        <w:sectPr w:rsidR="00670FFD" w:rsidSect="00670FFD">
          <w:headerReference w:type="even" r:id="rId8"/>
          <w:headerReference w:type="default" r:id="rId9"/>
          <w:pgSz w:w="11906" w:h="16838" w:code="9"/>
          <w:pgMar w:top="1440" w:right="1440" w:bottom="1440" w:left="1440" w:header="1008" w:footer="720" w:gutter="0"/>
          <w:pgNumType w:start="32"/>
          <w:cols w:space="708"/>
          <w:docGrid w:linePitch="360"/>
        </w:sectPr>
      </w:pPr>
    </w:p>
    <w:p w14:paraId="43E5A25D" w14:textId="77777777" w:rsidR="00F86616" w:rsidRPr="00670FFD" w:rsidRDefault="00F86616" w:rsidP="00670FFD">
      <w:pPr>
        <w:spacing w:after="120" w:line="276" w:lineRule="auto"/>
        <w:jc w:val="both"/>
        <w:rPr>
          <w:rFonts w:ascii="Arial" w:hAnsi="Arial" w:cs="Arial"/>
          <w:b/>
          <w:bCs/>
          <w:sz w:val="22"/>
          <w:szCs w:val="22"/>
        </w:rPr>
      </w:pPr>
      <w:r w:rsidRPr="00670FFD">
        <w:rPr>
          <w:rFonts w:ascii="Arial" w:hAnsi="Arial" w:cs="Arial"/>
          <w:b/>
          <w:bCs/>
          <w:sz w:val="22"/>
          <w:szCs w:val="22"/>
        </w:rPr>
        <w:lastRenderedPageBreak/>
        <w:t>Case Introduction</w:t>
      </w:r>
    </w:p>
    <w:p w14:paraId="71703CF0" w14:textId="77777777" w:rsidR="00670FFD" w:rsidRDefault="007409D4" w:rsidP="00670FFD">
      <w:pPr>
        <w:spacing w:after="120" w:line="276" w:lineRule="auto"/>
        <w:ind w:firstLine="720"/>
        <w:jc w:val="both"/>
        <w:rPr>
          <w:rFonts w:ascii="Arial" w:hAnsi="Arial" w:cs="Arial"/>
          <w:sz w:val="22"/>
          <w:szCs w:val="22"/>
        </w:rPr>
      </w:pPr>
      <w:r w:rsidRPr="00670FFD">
        <w:rPr>
          <w:rFonts w:ascii="Arial" w:hAnsi="Arial" w:cs="Arial"/>
          <w:sz w:val="22"/>
          <w:szCs w:val="22"/>
        </w:rPr>
        <w:t xml:space="preserve">Manas Electric, which has been in the Indian electricals market for 30 years, wanted to make a big move: they wanted to become Mercedes-Benz India's preferred supplier for manufacturing. The formal RFP process showed that Mercedes-Benz's procurement system gave a lot of weight to documentation discipline, up-to-date certification evidence, and proven on-time-in-full (OTIF) delivery records, in addition to price. The intern worked with people from different departments to get test reports, set up a controlled documentation "vault," and set up regular meetings to keep track of exceptions and update compliance status in real time. </w:t>
      </w:r>
    </w:p>
    <w:p w14:paraId="47E195E0" w14:textId="777C2A50" w:rsidR="007409D4" w:rsidRPr="00670FFD" w:rsidRDefault="007409D4" w:rsidP="00670FFD">
      <w:pPr>
        <w:spacing w:after="120" w:line="276" w:lineRule="auto"/>
        <w:ind w:firstLine="720"/>
        <w:jc w:val="both"/>
        <w:rPr>
          <w:rFonts w:ascii="Arial" w:hAnsi="Arial" w:cs="Arial"/>
          <w:sz w:val="22"/>
          <w:szCs w:val="22"/>
        </w:rPr>
      </w:pPr>
      <w:r w:rsidRPr="00670FFD">
        <w:rPr>
          <w:rFonts w:ascii="Arial" w:hAnsi="Arial" w:cs="Arial"/>
          <w:sz w:val="22"/>
          <w:szCs w:val="22"/>
        </w:rPr>
        <w:t xml:space="preserve">There was a lot of competition, and a lot of other vendors were mostly competing on price, but they had trouble with incomplete documentation or unclear audit trails. Research on transparency shows that strong documentation systems </w:t>
      </w:r>
      <w:r w:rsidRPr="00670FFD">
        <w:rPr>
          <w:rFonts w:ascii="Arial" w:hAnsi="Arial" w:cs="Arial"/>
          <w:sz w:val="22"/>
          <w:szCs w:val="22"/>
        </w:rPr>
        <w:lastRenderedPageBreak/>
        <w:t>and real-time visibility tools increase buyer trust and cut down on late-stage renegotiations. This is a key advantage when gaps in certification or supply problems could hurt credibility. Using reliability and compliance to capture value can lead to higher prices or guaranteed volumes, as shown in pricing research on high-capability B2B sales. The case shows that good negotiation depends on both operational discipline and traditional business strategies.</w:t>
      </w:r>
    </w:p>
    <w:p w14:paraId="6556E3F4" w14:textId="77777777" w:rsidR="00F86616" w:rsidRPr="00670FFD" w:rsidRDefault="00F86616" w:rsidP="00670FFD">
      <w:pPr>
        <w:spacing w:after="120" w:line="276" w:lineRule="auto"/>
        <w:jc w:val="both"/>
        <w:rPr>
          <w:rFonts w:ascii="Arial" w:hAnsi="Arial" w:cs="Arial"/>
          <w:b/>
          <w:bCs/>
          <w:sz w:val="22"/>
          <w:szCs w:val="22"/>
        </w:rPr>
      </w:pPr>
      <w:r w:rsidRPr="00670FFD">
        <w:rPr>
          <w:rFonts w:ascii="Arial" w:hAnsi="Arial" w:cs="Arial"/>
          <w:b/>
          <w:bCs/>
          <w:sz w:val="22"/>
          <w:szCs w:val="22"/>
        </w:rPr>
        <w:t>About the Industry</w:t>
      </w:r>
    </w:p>
    <w:p w14:paraId="2D9CC197" w14:textId="77777777" w:rsidR="00670FFD" w:rsidRDefault="007409D4" w:rsidP="00670FFD">
      <w:pPr>
        <w:spacing w:after="120" w:line="276" w:lineRule="auto"/>
        <w:ind w:firstLine="720"/>
        <w:jc w:val="both"/>
        <w:rPr>
          <w:rFonts w:ascii="Arial" w:hAnsi="Arial" w:cs="Arial"/>
          <w:sz w:val="22"/>
          <w:szCs w:val="22"/>
        </w:rPr>
      </w:pPr>
      <w:r w:rsidRPr="00670FFD">
        <w:rPr>
          <w:rFonts w:ascii="Arial" w:hAnsi="Arial" w:cs="Arial"/>
          <w:sz w:val="22"/>
          <w:szCs w:val="22"/>
        </w:rPr>
        <w:t xml:space="preserve">India's electrical equipment market is huge and has many levels. It provides important parts and assemblies for infrastructure, commercial buildings, factories, and the automotive industry. Enterprise buyers, especially global automotive and manufacturing brands, want to be able to trace everything from safety to energy efficiency down to the smallest detail and make sure it meets all </w:t>
      </w:r>
      <w:r w:rsidRPr="00670FFD">
        <w:rPr>
          <w:rFonts w:ascii="Arial" w:hAnsi="Arial" w:cs="Arial"/>
          <w:sz w:val="22"/>
          <w:szCs w:val="22"/>
        </w:rPr>
        <w:lastRenderedPageBreak/>
        <w:t>standards. Several independent reviews agree that transparency and visibility are more than just good for business: they help with compliance, lower fraud and error rates, and lower the risk premiums that buyers give in uncertain situations.</w:t>
      </w:r>
    </w:p>
    <w:p w14:paraId="50375FB7" w14:textId="72E09ABA" w:rsidR="007409D4" w:rsidRPr="00670FFD" w:rsidRDefault="007409D4" w:rsidP="00670FFD">
      <w:pPr>
        <w:spacing w:after="120" w:line="276" w:lineRule="auto"/>
        <w:ind w:firstLine="720"/>
        <w:jc w:val="both"/>
        <w:rPr>
          <w:rFonts w:ascii="Arial" w:hAnsi="Arial" w:cs="Arial"/>
          <w:sz w:val="22"/>
          <w:szCs w:val="22"/>
        </w:rPr>
      </w:pPr>
      <w:r w:rsidRPr="00670FFD">
        <w:rPr>
          <w:rFonts w:ascii="Arial" w:hAnsi="Arial" w:cs="Arial"/>
          <w:sz w:val="22"/>
          <w:szCs w:val="22"/>
        </w:rPr>
        <w:t xml:space="preserve"> The way prices work in this industry is changing. Instead of rewarding companies that can show downstream value, they are now rewarding companies that can lower the total cost of ownership, lower risk, or provide reliability KPIs like OTIF and quick exception resolution. More and more, these standards and expectations are being written down in procurement contracts, which means that operational discipline is now a must-have for businesses, not a way to stand out.</w:t>
      </w:r>
    </w:p>
    <w:p w14:paraId="2D7173C7" w14:textId="77777777" w:rsidR="00F86616" w:rsidRPr="00670FFD" w:rsidRDefault="00F86616" w:rsidP="00670FFD">
      <w:pPr>
        <w:spacing w:after="120" w:line="276" w:lineRule="auto"/>
        <w:jc w:val="both"/>
        <w:rPr>
          <w:rFonts w:ascii="Arial" w:hAnsi="Arial" w:cs="Arial"/>
          <w:b/>
          <w:bCs/>
          <w:sz w:val="22"/>
          <w:szCs w:val="22"/>
        </w:rPr>
      </w:pPr>
      <w:r w:rsidRPr="00670FFD">
        <w:rPr>
          <w:rFonts w:ascii="Arial" w:hAnsi="Arial" w:cs="Arial"/>
          <w:b/>
          <w:bCs/>
          <w:sz w:val="22"/>
          <w:szCs w:val="22"/>
        </w:rPr>
        <w:t>Problems Faced by the Industry</w:t>
      </w:r>
    </w:p>
    <w:p w14:paraId="7473706F" w14:textId="77777777" w:rsidR="00F86616" w:rsidRPr="00670FFD" w:rsidRDefault="00F86616" w:rsidP="00670FFD">
      <w:pPr>
        <w:spacing w:after="120" w:line="276" w:lineRule="auto"/>
        <w:ind w:firstLine="360"/>
        <w:jc w:val="both"/>
        <w:rPr>
          <w:rFonts w:ascii="Arial" w:hAnsi="Arial" w:cs="Arial"/>
          <w:sz w:val="22"/>
          <w:szCs w:val="22"/>
        </w:rPr>
      </w:pPr>
      <w:r w:rsidRPr="00670FFD">
        <w:rPr>
          <w:rFonts w:ascii="Arial" w:hAnsi="Arial" w:cs="Arial"/>
          <w:sz w:val="22"/>
          <w:szCs w:val="22"/>
        </w:rPr>
        <w:t>The Indian electricals distribution industry faces several recurring frictions:</w:t>
      </w:r>
    </w:p>
    <w:p w14:paraId="0BAD35AF" w14:textId="77777777" w:rsidR="00F86616" w:rsidRPr="00670FFD" w:rsidRDefault="00F86616" w:rsidP="00670FFD">
      <w:pPr>
        <w:numPr>
          <w:ilvl w:val="0"/>
          <w:numId w:val="1"/>
        </w:numPr>
        <w:tabs>
          <w:tab w:val="clear" w:pos="720"/>
        </w:tabs>
        <w:spacing w:after="120" w:line="276" w:lineRule="auto"/>
        <w:ind w:left="450"/>
        <w:jc w:val="both"/>
        <w:rPr>
          <w:rFonts w:ascii="Arial" w:hAnsi="Arial" w:cs="Arial"/>
          <w:sz w:val="22"/>
          <w:szCs w:val="22"/>
        </w:rPr>
      </w:pPr>
      <w:r w:rsidRPr="00670FFD">
        <w:rPr>
          <w:rFonts w:ascii="Arial" w:hAnsi="Arial" w:cs="Arial"/>
          <w:sz w:val="22"/>
          <w:szCs w:val="22"/>
        </w:rPr>
        <w:t>Documentation lapses causing rework, last-minute bid disqualification, or audit failures</w:t>
      </w:r>
    </w:p>
    <w:p w14:paraId="0EF128A9" w14:textId="77777777" w:rsidR="00F86616" w:rsidRPr="00670FFD" w:rsidRDefault="00F86616" w:rsidP="00670FFD">
      <w:pPr>
        <w:numPr>
          <w:ilvl w:val="0"/>
          <w:numId w:val="1"/>
        </w:numPr>
        <w:tabs>
          <w:tab w:val="clear" w:pos="720"/>
        </w:tabs>
        <w:spacing w:after="120" w:line="276" w:lineRule="auto"/>
        <w:ind w:left="450"/>
        <w:jc w:val="both"/>
        <w:rPr>
          <w:rFonts w:ascii="Arial" w:hAnsi="Arial" w:cs="Arial"/>
          <w:sz w:val="22"/>
          <w:szCs w:val="22"/>
        </w:rPr>
      </w:pPr>
      <w:r w:rsidRPr="00670FFD">
        <w:rPr>
          <w:rFonts w:ascii="Arial" w:hAnsi="Arial" w:cs="Arial"/>
          <w:sz w:val="22"/>
          <w:szCs w:val="22"/>
        </w:rPr>
        <w:t>Lead times for test reports that lag commercial bid cycles, especially when engaging with international OEMs requiring globally accredited certification</w:t>
      </w:r>
    </w:p>
    <w:p w14:paraId="54B183B4" w14:textId="77777777" w:rsidR="00F86616" w:rsidRPr="00670FFD" w:rsidRDefault="00F86616" w:rsidP="00670FFD">
      <w:pPr>
        <w:numPr>
          <w:ilvl w:val="0"/>
          <w:numId w:val="1"/>
        </w:numPr>
        <w:tabs>
          <w:tab w:val="clear" w:pos="720"/>
        </w:tabs>
        <w:spacing w:after="120" w:line="276" w:lineRule="auto"/>
        <w:ind w:left="450"/>
        <w:jc w:val="both"/>
        <w:rPr>
          <w:rFonts w:ascii="Arial" w:hAnsi="Arial" w:cs="Arial"/>
          <w:sz w:val="22"/>
          <w:szCs w:val="22"/>
        </w:rPr>
      </w:pPr>
      <w:r w:rsidRPr="00670FFD">
        <w:rPr>
          <w:rFonts w:ascii="Arial" w:hAnsi="Arial" w:cs="Arial"/>
          <w:sz w:val="22"/>
          <w:szCs w:val="22"/>
        </w:rPr>
        <w:t>Supply volatility due to raw material swings or vendor unreliability, undermining OTIF scores</w:t>
      </w:r>
    </w:p>
    <w:p w14:paraId="391685F4" w14:textId="77777777" w:rsidR="00F86616" w:rsidRPr="00670FFD" w:rsidRDefault="00F86616" w:rsidP="00670FFD">
      <w:pPr>
        <w:numPr>
          <w:ilvl w:val="0"/>
          <w:numId w:val="1"/>
        </w:numPr>
        <w:tabs>
          <w:tab w:val="clear" w:pos="720"/>
        </w:tabs>
        <w:spacing w:after="120" w:line="276" w:lineRule="auto"/>
        <w:ind w:left="450"/>
        <w:jc w:val="both"/>
        <w:rPr>
          <w:rFonts w:ascii="Arial" w:hAnsi="Arial" w:cs="Arial"/>
          <w:sz w:val="22"/>
          <w:szCs w:val="22"/>
        </w:rPr>
      </w:pPr>
      <w:r w:rsidRPr="00670FFD">
        <w:rPr>
          <w:rFonts w:ascii="Arial" w:hAnsi="Arial" w:cs="Arial"/>
          <w:sz w:val="22"/>
          <w:szCs w:val="22"/>
        </w:rPr>
        <w:t>Relentless price competition driving many firms to unsustainable discounting, at the cost of quality or service</w:t>
      </w:r>
    </w:p>
    <w:p w14:paraId="301DBB42" w14:textId="77777777" w:rsidR="00F86616" w:rsidRPr="00670FFD" w:rsidRDefault="00F86616" w:rsidP="00670FFD">
      <w:pPr>
        <w:numPr>
          <w:ilvl w:val="0"/>
          <w:numId w:val="1"/>
        </w:numPr>
        <w:tabs>
          <w:tab w:val="clear" w:pos="720"/>
        </w:tabs>
        <w:spacing w:after="120" w:line="276" w:lineRule="auto"/>
        <w:ind w:left="450"/>
        <w:jc w:val="both"/>
        <w:rPr>
          <w:rFonts w:ascii="Arial" w:hAnsi="Arial" w:cs="Arial"/>
          <w:sz w:val="22"/>
          <w:szCs w:val="22"/>
        </w:rPr>
      </w:pPr>
      <w:r w:rsidRPr="00670FFD">
        <w:rPr>
          <w:rFonts w:ascii="Arial" w:hAnsi="Arial" w:cs="Arial"/>
          <w:sz w:val="22"/>
          <w:szCs w:val="22"/>
        </w:rPr>
        <w:t>Multiparty process fragmentation—where engineering, procurement, quality, and logistics teams are misaligned on deliverables or status</w:t>
      </w:r>
    </w:p>
    <w:p w14:paraId="0D8851C8" w14:textId="3426C6EC" w:rsidR="00F86616" w:rsidRPr="00670FFD" w:rsidRDefault="00F86616" w:rsidP="00670FFD">
      <w:pPr>
        <w:spacing w:after="120" w:line="276" w:lineRule="auto"/>
        <w:ind w:firstLine="450"/>
        <w:jc w:val="both"/>
        <w:rPr>
          <w:rFonts w:ascii="Arial" w:hAnsi="Arial" w:cs="Arial"/>
          <w:sz w:val="22"/>
          <w:szCs w:val="22"/>
        </w:rPr>
      </w:pPr>
      <w:r w:rsidRPr="00670FFD">
        <w:rPr>
          <w:rFonts w:ascii="Arial" w:hAnsi="Arial" w:cs="Arial"/>
          <w:sz w:val="22"/>
          <w:szCs w:val="22"/>
        </w:rPr>
        <w:t xml:space="preserve">Academic reviews and case-based research consistently recommend multi-layered transparency, controlled documentation workflows, and negotiation </w:t>
      </w:r>
      <w:r w:rsidRPr="00670FFD">
        <w:rPr>
          <w:rFonts w:ascii="Arial" w:hAnsi="Arial" w:cs="Arial"/>
          <w:sz w:val="22"/>
          <w:szCs w:val="22"/>
        </w:rPr>
        <w:lastRenderedPageBreak/>
        <w:t>models that link price to incrementa</w:t>
      </w:r>
      <w:bookmarkStart w:id="1" w:name="_GoBack"/>
      <w:bookmarkEnd w:id="1"/>
      <w:r w:rsidRPr="00670FFD">
        <w:rPr>
          <w:rFonts w:ascii="Arial" w:hAnsi="Arial" w:cs="Arial"/>
          <w:sz w:val="22"/>
          <w:szCs w:val="22"/>
        </w:rPr>
        <w:t>l risk reduction, rather than simple list-price concessions.</w:t>
      </w:r>
    </w:p>
    <w:p w14:paraId="41B60C8B" w14:textId="77777777" w:rsidR="00F86616" w:rsidRPr="00670FFD" w:rsidRDefault="00F86616" w:rsidP="00670FFD">
      <w:pPr>
        <w:spacing w:after="120" w:line="276" w:lineRule="auto"/>
        <w:jc w:val="both"/>
        <w:rPr>
          <w:rFonts w:ascii="Arial" w:hAnsi="Arial" w:cs="Arial"/>
          <w:b/>
          <w:bCs/>
          <w:sz w:val="22"/>
          <w:szCs w:val="22"/>
        </w:rPr>
      </w:pPr>
      <w:r w:rsidRPr="00670FFD">
        <w:rPr>
          <w:rFonts w:ascii="Arial" w:hAnsi="Arial" w:cs="Arial"/>
          <w:b/>
          <w:bCs/>
          <w:sz w:val="22"/>
          <w:szCs w:val="22"/>
        </w:rPr>
        <w:t>About the Company</w:t>
      </w:r>
    </w:p>
    <w:p w14:paraId="71627A49" w14:textId="77777777" w:rsidR="007409D4" w:rsidRPr="00670FFD" w:rsidRDefault="007409D4" w:rsidP="00670FFD">
      <w:pPr>
        <w:spacing w:after="120" w:line="276" w:lineRule="auto"/>
        <w:ind w:firstLine="720"/>
        <w:jc w:val="both"/>
        <w:rPr>
          <w:rFonts w:ascii="Arial" w:hAnsi="Arial" w:cs="Arial"/>
          <w:sz w:val="22"/>
          <w:szCs w:val="22"/>
        </w:rPr>
      </w:pPr>
      <w:r w:rsidRPr="00670FFD">
        <w:rPr>
          <w:rFonts w:ascii="Arial" w:hAnsi="Arial" w:cs="Arial"/>
          <w:sz w:val="22"/>
          <w:szCs w:val="22"/>
        </w:rPr>
        <w:t>Manas Electric combines strong OEM access with a unique set of consulting services, such as matching specifications exactly, preparing documentation, and coordinating logistics. The team had to work with both the OEM and labs to fill in "gaps" in certification for their Mercedes-Benz bid. They also had to keep shipment schedules on track through proactive, synchronized delivery management. Version-controlled document repositories and workflow auditability are shown in the literature to be very effective at lowering cycle times and error rates. When it comes to pricing, it's better to offer volume and term-based discounts that are based on verified lifecycle reliability than one-time discounts. Internally, the company responded by hiring one technical liaison to answer compliance questions, opening a digital vault, and putting in place a reliability dashboard so that both employees and customers could see how well logistics were working.</w:t>
      </w:r>
    </w:p>
    <w:p w14:paraId="074FA734" w14:textId="77777777" w:rsidR="00F86616" w:rsidRPr="00670FFD" w:rsidRDefault="00F86616" w:rsidP="00670FFD">
      <w:pPr>
        <w:spacing w:after="120" w:line="276" w:lineRule="auto"/>
        <w:jc w:val="both"/>
        <w:rPr>
          <w:rFonts w:ascii="Arial" w:hAnsi="Arial" w:cs="Arial"/>
          <w:b/>
          <w:bCs/>
          <w:sz w:val="22"/>
          <w:szCs w:val="22"/>
        </w:rPr>
      </w:pPr>
      <w:r w:rsidRPr="00670FFD">
        <w:rPr>
          <w:rFonts w:ascii="Arial" w:hAnsi="Arial" w:cs="Arial"/>
          <w:b/>
          <w:bCs/>
          <w:sz w:val="22"/>
          <w:szCs w:val="22"/>
        </w:rPr>
        <w:t>Problems Faced by the Company</w:t>
      </w:r>
    </w:p>
    <w:p w14:paraId="15CE391B" w14:textId="77777777" w:rsidR="00F86616" w:rsidRPr="00670FFD" w:rsidRDefault="00F86616" w:rsidP="00670FFD">
      <w:pPr>
        <w:spacing w:after="120" w:line="276" w:lineRule="auto"/>
        <w:ind w:firstLine="360"/>
        <w:jc w:val="both"/>
        <w:rPr>
          <w:rFonts w:ascii="Arial" w:hAnsi="Arial" w:cs="Arial"/>
          <w:sz w:val="22"/>
          <w:szCs w:val="22"/>
        </w:rPr>
      </w:pPr>
      <w:r w:rsidRPr="00670FFD">
        <w:rPr>
          <w:rFonts w:ascii="Arial" w:hAnsi="Arial" w:cs="Arial"/>
          <w:sz w:val="22"/>
          <w:szCs w:val="22"/>
        </w:rPr>
        <w:t>Manas Electric confronted multiple, intersecting challenges:</w:t>
      </w:r>
    </w:p>
    <w:p w14:paraId="237171AA" w14:textId="77777777" w:rsidR="00F86616" w:rsidRPr="00670FFD" w:rsidRDefault="00F86616" w:rsidP="00670FFD">
      <w:pPr>
        <w:numPr>
          <w:ilvl w:val="0"/>
          <w:numId w:val="2"/>
        </w:numPr>
        <w:tabs>
          <w:tab w:val="clear" w:pos="720"/>
        </w:tabs>
        <w:spacing w:after="120" w:line="276" w:lineRule="auto"/>
        <w:ind w:left="540"/>
        <w:jc w:val="both"/>
        <w:rPr>
          <w:rFonts w:ascii="Arial" w:hAnsi="Arial" w:cs="Arial"/>
          <w:sz w:val="22"/>
          <w:szCs w:val="22"/>
        </w:rPr>
      </w:pPr>
      <w:r w:rsidRPr="00670FFD">
        <w:rPr>
          <w:rFonts w:ascii="Arial" w:hAnsi="Arial" w:cs="Arial"/>
          <w:sz w:val="22"/>
          <w:szCs w:val="22"/>
        </w:rPr>
        <w:t>Certification gaps emerged late in the procurement process, risking lost orders or expensive last-minute remediation</w:t>
      </w:r>
    </w:p>
    <w:p w14:paraId="52224AB8" w14:textId="77777777" w:rsidR="00F86616" w:rsidRPr="00670FFD" w:rsidRDefault="00F86616" w:rsidP="00670FFD">
      <w:pPr>
        <w:numPr>
          <w:ilvl w:val="0"/>
          <w:numId w:val="2"/>
        </w:numPr>
        <w:tabs>
          <w:tab w:val="clear" w:pos="720"/>
        </w:tabs>
        <w:spacing w:after="120" w:line="276" w:lineRule="auto"/>
        <w:ind w:left="540"/>
        <w:jc w:val="both"/>
        <w:rPr>
          <w:rFonts w:ascii="Arial" w:hAnsi="Arial" w:cs="Arial"/>
          <w:sz w:val="22"/>
          <w:szCs w:val="22"/>
        </w:rPr>
      </w:pPr>
      <w:r w:rsidRPr="00670FFD">
        <w:rPr>
          <w:rFonts w:ascii="Arial" w:hAnsi="Arial" w:cs="Arial"/>
          <w:sz w:val="22"/>
          <w:szCs w:val="22"/>
        </w:rPr>
        <w:t>Supply-side volatility threatened to erode OTIF performance, particularly for SKUs with long or uncertain lead times</w:t>
      </w:r>
    </w:p>
    <w:p w14:paraId="08994505" w14:textId="77777777" w:rsidR="00F86616" w:rsidRPr="00670FFD" w:rsidRDefault="00F86616" w:rsidP="00670FFD">
      <w:pPr>
        <w:numPr>
          <w:ilvl w:val="0"/>
          <w:numId w:val="2"/>
        </w:numPr>
        <w:tabs>
          <w:tab w:val="clear" w:pos="720"/>
        </w:tabs>
        <w:spacing w:after="120" w:line="276" w:lineRule="auto"/>
        <w:ind w:left="540"/>
        <w:jc w:val="both"/>
        <w:rPr>
          <w:rFonts w:ascii="Arial" w:hAnsi="Arial" w:cs="Arial"/>
          <w:sz w:val="22"/>
          <w:szCs w:val="22"/>
        </w:rPr>
      </w:pPr>
      <w:r w:rsidRPr="00670FFD">
        <w:rPr>
          <w:rFonts w:ascii="Arial" w:hAnsi="Arial" w:cs="Arial"/>
          <w:sz w:val="22"/>
          <w:szCs w:val="22"/>
        </w:rPr>
        <w:t>High-pressure price negotiation frequently undermined margins, especially when customers failed to appreciate the embedded value of reliability or compliance</w:t>
      </w:r>
    </w:p>
    <w:p w14:paraId="7AF991ED" w14:textId="77777777" w:rsidR="00F86616" w:rsidRPr="00670FFD" w:rsidRDefault="00F86616" w:rsidP="00670FFD">
      <w:pPr>
        <w:numPr>
          <w:ilvl w:val="0"/>
          <w:numId w:val="2"/>
        </w:numPr>
        <w:tabs>
          <w:tab w:val="clear" w:pos="720"/>
        </w:tabs>
        <w:spacing w:after="120" w:line="276" w:lineRule="auto"/>
        <w:ind w:left="540"/>
        <w:jc w:val="both"/>
        <w:rPr>
          <w:rFonts w:ascii="Arial" w:hAnsi="Arial" w:cs="Arial"/>
          <w:sz w:val="22"/>
          <w:szCs w:val="22"/>
        </w:rPr>
      </w:pPr>
      <w:r w:rsidRPr="00670FFD">
        <w:rPr>
          <w:rFonts w:ascii="Arial" w:hAnsi="Arial" w:cs="Arial"/>
          <w:sz w:val="22"/>
          <w:szCs w:val="22"/>
        </w:rPr>
        <w:lastRenderedPageBreak/>
        <w:t>Multiparty involvement led to conflicting communications and misunderstood deliverables, complicating both internal governance and external customer perception</w:t>
      </w:r>
    </w:p>
    <w:p w14:paraId="2B6D12DD" w14:textId="79D7DC9B" w:rsidR="00F86616" w:rsidRPr="00670FFD" w:rsidRDefault="00F86616" w:rsidP="00670FFD">
      <w:pPr>
        <w:spacing w:after="120" w:line="276" w:lineRule="auto"/>
        <w:ind w:firstLine="540"/>
        <w:jc w:val="both"/>
        <w:rPr>
          <w:rFonts w:ascii="Arial" w:hAnsi="Arial" w:cs="Arial"/>
          <w:sz w:val="22"/>
          <w:szCs w:val="22"/>
        </w:rPr>
      </w:pPr>
      <w:r w:rsidRPr="00670FFD">
        <w:rPr>
          <w:rFonts w:ascii="Arial" w:hAnsi="Arial" w:cs="Arial"/>
          <w:sz w:val="22"/>
          <w:szCs w:val="22"/>
        </w:rPr>
        <w:t>The academic and practitioner research points to several counter</w:t>
      </w:r>
      <w:r w:rsidR="00C84CD9">
        <w:rPr>
          <w:rFonts w:ascii="Arial" w:hAnsi="Arial" w:cs="Arial"/>
          <w:sz w:val="22"/>
          <w:szCs w:val="22"/>
        </w:rPr>
        <w:t xml:space="preserve"> </w:t>
      </w:r>
      <w:r w:rsidRPr="00670FFD">
        <w:rPr>
          <w:rFonts w:ascii="Arial" w:hAnsi="Arial" w:cs="Arial"/>
          <w:sz w:val="22"/>
          <w:szCs w:val="22"/>
        </w:rPr>
        <w:t>measures</w:t>
      </w:r>
      <w:r w:rsidR="00C84CD9">
        <w:rPr>
          <w:rFonts w:ascii="Arial" w:hAnsi="Arial" w:cs="Arial"/>
          <w:sz w:val="22"/>
          <w:szCs w:val="22"/>
        </w:rPr>
        <w:t xml:space="preserve"> </w:t>
      </w:r>
      <w:r w:rsidRPr="00670FFD">
        <w:rPr>
          <w:rFonts w:ascii="Arial" w:hAnsi="Arial" w:cs="Arial"/>
          <w:sz w:val="22"/>
          <w:szCs w:val="22"/>
        </w:rPr>
        <w:t>—</w:t>
      </w:r>
      <w:r w:rsidR="00C84CD9">
        <w:rPr>
          <w:rFonts w:ascii="Arial" w:hAnsi="Arial" w:cs="Arial"/>
          <w:sz w:val="22"/>
          <w:szCs w:val="22"/>
        </w:rPr>
        <w:t xml:space="preserve"> </w:t>
      </w:r>
      <w:r w:rsidRPr="00670FFD">
        <w:rPr>
          <w:rFonts w:ascii="Arial" w:hAnsi="Arial" w:cs="Arial"/>
          <w:sz w:val="22"/>
          <w:szCs w:val="22"/>
        </w:rPr>
        <w:t>document control plans, compliance “vaults,” clear technical ownership, and performance-linked pricing strategies</w:t>
      </w:r>
      <w:r w:rsidR="00C84CD9">
        <w:rPr>
          <w:rFonts w:ascii="Arial" w:hAnsi="Arial" w:cs="Arial"/>
          <w:sz w:val="22"/>
          <w:szCs w:val="22"/>
        </w:rPr>
        <w:t xml:space="preserve"> </w:t>
      </w:r>
      <w:r w:rsidRPr="00670FFD">
        <w:rPr>
          <w:rFonts w:ascii="Arial" w:hAnsi="Arial" w:cs="Arial"/>
          <w:sz w:val="22"/>
          <w:szCs w:val="22"/>
        </w:rPr>
        <w:t>—</w:t>
      </w:r>
      <w:r w:rsidR="00C84CD9">
        <w:rPr>
          <w:rFonts w:ascii="Arial" w:hAnsi="Arial" w:cs="Arial"/>
          <w:sz w:val="22"/>
          <w:szCs w:val="22"/>
        </w:rPr>
        <w:t xml:space="preserve"> </w:t>
      </w:r>
      <w:r w:rsidRPr="00670FFD">
        <w:rPr>
          <w:rFonts w:ascii="Arial" w:hAnsi="Arial" w:cs="Arial"/>
          <w:sz w:val="22"/>
          <w:szCs w:val="22"/>
        </w:rPr>
        <w:t>as levers to both reduce risk and defend profitable differentiation.</w:t>
      </w:r>
    </w:p>
    <w:p w14:paraId="12796DF9" w14:textId="77777777" w:rsidR="00F86616" w:rsidRPr="00670FFD" w:rsidRDefault="00F86616" w:rsidP="00670FFD">
      <w:pPr>
        <w:spacing w:after="120" w:line="276" w:lineRule="auto"/>
        <w:jc w:val="both"/>
        <w:rPr>
          <w:rFonts w:ascii="Arial" w:hAnsi="Arial" w:cs="Arial"/>
          <w:b/>
          <w:bCs/>
          <w:sz w:val="22"/>
          <w:szCs w:val="22"/>
        </w:rPr>
      </w:pPr>
      <w:r w:rsidRPr="00670FFD">
        <w:rPr>
          <w:rFonts w:ascii="Arial" w:hAnsi="Arial" w:cs="Arial"/>
          <w:b/>
          <w:bCs/>
          <w:sz w:val="22"/>
          <w:szCs w:val="22"/>
        </w:rPr>
        <w:t>Academic Learning</w:t>
      </w:r>
    </w:p>
    <w:p w14:paraId="577C9A16" w14:textId="77777777" w:rsidR="00F86616" w:rsidRPr="00670FFD" w:rsidRDefault="00F86616" w:rsidP="00670FFD">
      <w:pPr>
        <w:spacing w:after="120" w:line="276" w:lineRule="auto"/>
        <w:ind w:firstLine="720"/>
        <w:jc w:val="both"/>
        <w:rPr>
          <w:rFonts w:ascii="Arial" w:hAnsi="Arial" w:cs="Arial"/>
          <w:sz w:val="22"/>
          <w:szCs w:val="22"/>
        </w:rPr>
      </w:pPr>
      <w:r w:rsidRPr="00670FFD">
        <w:rPr>
          <w:rFonts w:ascii="Arial" w:hAnsi="Arial" w:cs="Arial"/>
          <w:sz w:val="22"/>
          <w:szCs w:val="22"/>
        </w:rPr>
        <w:t>This case integrates three foundational strands of management learning:</w:t>
      </w:r>
    </w:p>
    <w:p w14:paraId="62301369" w14:textId="77777777" w:rsidR="00F86616" w:rsidRPr="00670FFD" w:rsidRDefault="00F86616" w:rsidP="00670FFD">
      <w:pPr>
        <w:numPr>
          <w:ilvl w:val="0"/>
          <w:numId w:val="3"/>
        </w:numPr>
        <w:tabs>
          <w:tab w:val="clear" w:pos="720"/>
        </w:tabs>
        <w:spacing w:after="120" w:line="276" w:lineRule="auto"/>
        <w:ind w:left="360"/>
        <w:jc w:val="both"/>
        <w:rPr>
          <w:rFonts w:ascii="Arial" w:hAnsi="Arial" w:cs="Arial"/>
          <w:sz w:val="22"/>
          <w:szCs w:val="22"/>
        </w:rPr>
      </w:pPr>
      <w:r w:rsidRPr="00670FFD">
        <w:rPr>
          <w:rFonts w:ascii="Arial" w:hAnsi="Arial" w:cs="Arial"/>
          <w:sz w:val="22"/>
          <w:szCs w:val="22"/>
        </w:rPr>
        <w:t>Supply Chain Transparency: Students study frameworks connecting process visibility to risk reduction, compliance assurance, and buyer trust. Technology—document management, traceable logs, automated reminders—combines with codified processes for governance.</w:t>
      </w:r>
    </w:p>
    <w:p w14:paraId="69657FAE" w14:textId="77777777" w:rsidR="00F86616" w:rsidRPr="00670FFD" w:rsidRDefault="00F86616" w:rsidP="00670FFD">
      <w:pPr>
        <w:numPr>
          <w:ilvl w:val="0"/>
          <w:numId w:val="3"/>
        </w:numPr>
        <w:tabs>
          <w:tab w:val="clear" w:pos="720"/>
        </w:tabs>
        <w:spacing w:after="120" w:line="276" w:lineRule="auto"/>
        <w:ind w:left="360"/>
        <w:jc w:val="both"/>
        <w:rPr>
          <w:rFonts w:ascii="Arial" w:hAnsi="Arial" w:cs="Arial"/>
          <w:sz w:val="22"/>
          <w:szCs w:val="22"/>
        </w:rPr>
      </w:pPr>
      <w:r w:rsidRPr="00670FFD">
        <w:rPr>
          <w:rFonts w:ascii="Arial" w:hAnsi="Arial" w:cs="Arial"/>
          <w:sz w:val="22"/>
          <w:szCs w:val="22"/>
        </w:rPr>
        <w:t>Value-Based Pricing: Learners model the benefits of linking price concessions to substantiated value delivery, especially in contexts where technical compliance and reliability lower buyer operating costs or risk exposures.</w:t>
      </w:r>
    </w:p>
    <w:p w14:paraId="31B49ECC" w14:textId="6D53299C" w:rsidR="00F86616" w:rsidRPr="00670FFD" w:rsidRDefault="00F86616" w:rsidP="00670FFD">
      <w:pPr>
        <w:numPr>
          <w:ilvl w:val="0"/>
          <w:numId w:val="3"/>
        </w:numPr>
        <w:tabs>
          <w:tab w:val="clear" w:pos="720"/>
        </w:tabs>
        <w:spacing w:after="120" w:line="276" w:lineRule="auto"/>
        <w:ind w:left="360"/>
        <w:jc w:val="both"/>
        <w:rPr>
          <w:rFonts w:ascii="Arial" w:hAnsi="Arial" w:cs="Arial"/>
          <w:sz w:val="22"/>
          <w:szCs w:val="22"/>
        </w:rPr>
      </w:pPr>
      <w:r w:rsidRPr="00670FFD">
        <w:rPr>
          <w:rFonts w:ascii="Arial" w:hAnsi="Arial" w:cs="Arial"/>
          <w:sz w:val="22"/>
          <w:szCs w:val="22"/>
        </w:rPr>
        <w:t>Operations Metrics: The class examines how KPIs—especially OTIF, exception turnaround, and compliance lead times—anchor B2B sales and procurement dialogues. Deliverables include a compliance vault SOP, a live KPI dashboard for reliability, and a worksheet quantifying margin gains from value selling, not just cost-cutting.</w:t>
      </w:r>
    </w:p>
    <w:p w14:paraId="793CD3E5" w14:textId="77777777" w:rsidR="00F86616" w:rsidRPr="00670FFD" w:rsidRDefault="00F86616" w:rsidP="00670FFD">
      <w:pPr>
        <w:spacing w:after="120" w:line="276" w:lineRule="auto"/>
        <w:jc w:val="center"/>
        <w:rPr>
          <w:rFonts w:ascii="Arial" w:hAnsi="Arial" w:cs="Arial"/>
          <w:b/>
          <w:bCs/>
          <w:caps/>
          <w:sz w:val="22"/>
          <w:szCs w:val="22"/>
        </w:rPr>
      </w:pPr>
      <w:r w:rsidRPr="00670FFD">
        <w:rPr>
          <w:rFonts w:ascii="Arial" w:hAnsi="Arial" w:cs="Arial"/>
          <w:b/>
          <w:bCs/>
          <w:caps/>
          <w:sz w:val="22"/>
          <w:szCs w:val="22"/>
        </w:rPr>
        <w:t>Conclusion</w:t>
      </w:r>
    </w:p>
    <w:p w14:paraId="757C3756" w14:textId="77777777" w:rsidR="007409D4" w:rsidRPr="00670FFD" w:rsidRDefault="007409D4" w:rsidP="00670FFD">
      <w:pPr>
        <w:spacing w:after="120" w:line="276" w:lineRule="auto"/>
        <w:jc w:val="both"/>
        <w:rPr>
          <w:rFonts w:ascii="Arial" w:hAnsi="Arial" w:cs="Arial"/>
          <w:sz w:val="22"/>
          <w:szCs w:val="22"/>
        </w:rPr>
      </w:pPr>
      <w:r w:rsidRPr="00670FFD">
        <w:rPr>
          <w:rFonts w:ascii="Arial" w:hAnsi="Arial" w:cs="Arial"/>
          <w:sz w:val="22"/>
          <w:szCs w:val="22"/>
        </w:rPr>
        <w:t xml:space="preserve">Manas Electric's journey with Mercedes-Benz shows that operational discipline </w:t>
      </w:r>
      <w:r w:rsidRPr="00670FFD">
        <w:rPr>
          <w:rFonts w:ascii="Arial" w:hAnsi="Arial" w:cs="Arial"/>
          <w:sz w:val="22"/>
          <w:szCs w:val="22"/>
        </w:rPr>
        <w:lastRenderedPageBreak/>
        <w:t>must become strategy in global B2B sales. Real-time logistics recovery, documentation control, and proactive exception management are not just "hygiene." They can and should be used in negotiations. Value-based pricing changes the way discounts are seen by focusing on lifecycle reliability and volume commitment. This protects margins and encourages longer customer relationships. In the modern business market, combining openness, value-based negotiation, and visible operations control gives companies both access to markets and long-term profits.</w:t>
      </w:r>
    </w:p>
    <w:p w14:paraId="7D6C529D" w14:textId="77777777" w:rsidR="00F86616" w:rsidRPr="00670FFD" w:rsidRDefault="00F86616" w:rsidP="00670FFD">
      <w:pPr>
        <w:spacing w:after="120" w:line="276" w:lineRule="auto"/>
        <w:jc w:val="center"/>
        <w:rPr>
          <w:rFonts w:ascii="Arial" w:hAnsi="Arial" w:cs="Arial"/>
          <w:b/>
          <w:bCs/>
          <w:caps/>
          <w:sz w:val="22"/>
          <w:szCs w:val="22"/>
        </w:rPr>
      </w:pPr>
      <w:r w:rsidRPr="00670FFD">
        <w:rPr>
          <w:rFonts w:ascii="Arial" w:hAnsi="Arial" w:cs="Arial"/>
          <w:b/>
          <w:bCs/>
          <w:caps/>
          <w:sz w:val="22"/>
          <w:szCs w:val="22"/>
        </w:rPr>
        <w:t>Case Questions</w:t>
      </w:r>
    </w:p>
    <w:p w14:paraId="3FAA5AAE" w14:textId="77777777" w:rsidR="00F86616" w:rsidRPr="00670FFD" w:rsidRDefault="00F86616" w:rsidP="00670FFD">
      <w:pPr>
        <w:numPr>
          <w:ilvl w:val="0"/>
          <w:numId w:val="4"/>
        </w:numPr>
        <w:spacing w:after="120" w:line="276" w:lineRule="auto"/>
        <w:jc w:val="both"/>
        <w:rPr>
          <w:rFonts w:ascii="Arial" w:hAnsi="Arial" w:cs="Arial"/>
          <w:sz w:val="22"/>
          <w:szCs w:val="22"/>
        </w:rPr>
      </w:pPr>
      <w:r w:rsidRPr="00670FFD">
        <w:rPr>
          <w:rFonts w:ascii="Arial" w:hAnsi="Arial" w:cs="Arial"/>
          <w:sz w:val="22"/>
          <w:szCs w:val="22"/>
        </w:rPr>
        <w:t>How should a documentation control plan be designed to minimize rework and audit exposure in high-stakes B2B sales?</w:t>
      </w:r>
    </w:p>
    <w:p w14:paraId="0565929E" w14:textId="77777777" w:rsidR="00F86616" w:rsidRPr="00670FFD" w:rsidRDefault="00F86616" w:rsidP="00670FFD">
      <w:pPr>
        <w:numPr>
          <w:ilvl w:val="0"/>
          <w:numId w:val="4"/>
        </w:numPr>
        <w:spacing w:after="120" w:line="276" w:lineRule="auto"/>
        <w:jc w:val="both"/>
        <w:rPr>
          <w:rFonts w:ascii="Arial" w:hAnsi="Arial" w:cs="Arial"/>
          <w:sz w:val="22"/>
          <w:szCs w:val="22"/>
        </w:rPr>
      </w:pPr>
      <w:r w:rsidRPr="00670FFD">
        <w:rPr>
          <w:rFonts w:ascii="Arial" w:hAnsi="Arial" w:cs="Arial"/>
          <w:sz w:val="22"/>
          <w:szCs w:val="22"/>
        </w:rPr>
        <w:t>What buffer-inventory and capability strategies preserve OTIF despite supplier or logistics volatility?</w:t>
      </w:r>
    </w:p>
    <w:p w14:paraId="24B65CDD" w14:textId="77777777" w:rsidR="00F86616" w:rsidRPr="00670FFD" w:rsidRDefault="00F86616" w:rsidP="00670FFD">
      <w:pPr>
        <w:numPr>
          <w:ilvl w:val="0"/>
          <w:numId w:val="4"/>
        </w:numPr>
        <w:spacing w:after="120" w:line="276" w:lineRule="auto"/>
        <w:jc w:val="both"/>
        <w:rPr>
          <w:rFonts w:ascii="Arial" w:hAnsi="Arial" w:cs="Arial"/>
          <w:sz w:val="22"/>
          <w:szCs w:val="22"/>
        </w:rPr>
      </w:pPr>
      <w:r w:rsidRPr="00670FFD">
        <w:rPr>
          <w:rFonts w:ascii="Arial" w:hAnsi="Arial" w:cs="Arial"/>
          <w:sz w:val="22"/>
          <w:szCs w:val="22"/>
        </w:rPr>
        <w:t>Which practices and KPIs most credibly signal reliability to large enterprise buyers?</w:t>
      </w:r>
    </w:p>
    <w:p w14:paraId="03155D3C" w14:textId="77777777" w:rsidR="00F86616" w:rsidRPr="00670FFD" w:rsidRDefault="00F86616" w:rsidP="00670FFD">
      <w:pPr>
        <w:numPr>
          <w:ilvl w:val="0"/>
          <w:numId w:val="4"/>
        </w:numPr>
        <w:spacing w:after="120" w:line="276" w:lineRule="auto"/>
        <w:jc w:val="both"/>
        <w:rPr>
          <w:rFonts w:ascii="Arial" w:hAnsi="Arial" w:cs="Arial"/>
          <w:sz w:val="22"/>
          <w:szCs w:val="22"/>
        </w:rPr>
      </w:pPr>
      <w:r w:rsidRPr="00670FFD">
        <w:rPr>
          <w:rFonts w:ascii="Arial" w:hAnsi="Arial" w:cs="Arial"/>
          <w:sz w:val="22"/>
          <w:szCs w:val="22"/>
        </w:rPr>
        <w:t>How can negotiation routines and pricing constructs be reorganized to convert operational discipline into sustainable margin protection?</w:t>
      </w:r>
    </w:p>
    <w:p w14:paraId="3F1DBC0F" w14:textId="7E93AC70" w:rsidR="00F86616" w:rsidRPr="00670FFD" w:rsidRDefault="00F86616" w:rsidP="00670FFD">
      <w:pPr>
        <w:numPr>
          <w:ilvl w:val="0"/>
          <w:numId w:val="4"/>
        </w:numPr>
        <w:spacing w:after="120" w:line="276" w:lineRule="auto"/>
        <w:jc w:val="both"/>
        <w:rPr>
          <w:rFonts w:ascii="Arial" w:hAnsi="Arial" w:cs="Arial"/>
          <w:sz w:val="22"/>
          <w:szCs w:val="22"/>
        </w:rPr>
      </w:pPr>
      <w:r w:rsidRPr="00670FFD">
        <w:rPr>
          <w:rFonts w:ascii="Arial" w:hAnsi="Arial" w:cs="Arial"/>
          <w:sz w:val="22"/>
          <w:szCs w:val="22"/>
        </w:rPr>
        <w:t>What cadence and routines ensure multiparty stakeholder coordination for complex commercial and compliance deliverables?</w:t>
      </w:r>
    </w:p>
    <w:p w14:paraId="72C47492" w14:textId="77777777" w:rsidR="00F86616" w:rsidRPr="00670FFD" w:rsidRDefault="00F86616" w:rsidP="00670FFD">
      <w:pPr>
        <w:spacing w:after="120" w:line="276" w:lineRule="auto"/>
        <w:jc w:val="center"/>
        <w:rPr>
          <w:rFonts w:ascii="Arial" w:hAnsi="Arial" w:cs="Arial"/>
          <w:b/>
          <w:bCs/>
          <w:caps/>
          <w:sz w:val="22"/>
          <w:szCs w:val="22"/>
        </w:rPr>
      </w:pPr>
      <w:r w:rsidRPr="00670FFD">
        <w:rPr>
          <w:rFonts w:ascii="Arial" w:hAnsi="Arial" w:cs="Arial"/>
          <w:b/>
          <w:bCs/>
          <w:caps/>
          <w:sz w:val="22"/>
          <w:szCs w:val="22"/>
        </w:rPr>
        <w:t>References</w:t>
      </w:r>
    </w:p>
    <w:p w14:paraId="75B8FF2B" w14:textId="77777777" w:rsidR="00F86616" w:rsidRPr="00670FFD" w:rsidRDefault="00F86616" w:rsidP="00670FFD">
      <w:pPr>
        <w:spacing w:after="120" w:line="276" w:lineRule="auto"/>
        <w:ind w:left="720" w:hanging="720"/>
        <w:jc w:val="both"/>
        <w:rPr>
          <w:rFonts w:ascii="Arial" w:hAnsi="Arial" w:cs="Arial"/>
          <w:sz w:val="22"/>
          <w:szCs w:val="22"/>
        </w:rPr>
      </w:pPr>
      <w:r w:rsidRPr="00670FFD">
        <w:rPr>
          <w:rFonts w:ascii="Arial" w:hAnsi="Arial" w:cs="Arial"/>
          <w:sz w:val="22"/>
          <w:szCs w:val="22"/>
        </w:rPr>
        <w:t>Montecchi, M., Plangger, K., &amp; Etter, M. (2021). Supply chain transparency: A bibliometric review and research agenda. International Journal of Production Economics, 238, 108152.</w:t>
      </w:r>
    </w:p>
    <w:p w14:paraId="552217D2" w14:textId="77777777" w:rsidR="00F86616" w:rsidRPr="00670FFD" w:rsidRDefault="00F86616" w:rsidP="00670FFD">
      <w:pPr>
        <w:spacing w:after="120" w:line="276" w:lineRule="auto"/>
        <w:ind w:left="720" w:hanging="720"/>
        <w:jc w:val="both"/>
        <w:rPr>
          <w:rFonts w:ascii="Arial" w:hAnsi="Arial" w:cs="Arial"/>
          <w:sz w:val="22"/>
          <w:szCs w:val="22"/>
        </w:rPr>
      </w:pPr>
      <w:r w:rsidRPr="00670FFD">
        <w:rPr>
          <w:rFonts w:ascii="Arial" w:hAnsi="Arial" w:cs="Arial"/>
          <w:sz w:val="22"/>
          <w:szCs w:val="22"/>
        </w:rPr>
        <w:t xml:space="preserve">Schäfer, N., Gold, S., &amp; Seuring, S. (2023). Making transparency transparent: A </w:t>
      </w:r>
      <w:r w:rsidRPr="00670FFD">
        <w:rPr>
          <w:rFonts w:ascii="Arial" w:hAnsi="Arial" w:cs="Arial"/>
          <w:sz w:val="22"/>
          <w:szCs w:val="22"/>
        </w:rPr>
        <w:lastRenderedPageBreak/>
        <w:t>systematic literature review to define and frame supply chain transparency. Business Research, 16, 1049–1088.</w:t>
      </w:r>
    </w:p>
    <w:p w14:paraId="17F8AF3B" w14:textId="77777777" w:rsidR="00F86616" w:rsidRPr="00670FFD" w:rsidRDefault="00F86616" w:rsidP="00670FFD">
      <w:pPr>
        <w:spacing w:after="120" w:line="276" w:lineRule="auto"/>
        <w:ind w:left="720" w:hanging="720"/>
        <w:jc w:val="both"/>
        <w:rPr>
          <w:rFonts w:ascii="Arial" w:hAnsi="Arial" w:cs="Arial"/>
          <w:sz w:val="22"/>
          <w:szCs w:val="22"/>
        </w:rPr>
      </w:pPr>
      <w:r w:rsidRPr="00670FFD">
        <w:rPr>
          <w:rFonts w:ascii="Arial" w:hAnsi="Arial" w:cs="Arial"/>
          <w:sz w:val="22"/>
          <w:szCs w:val="22"/>
        </w:rPr>
        <w:t>Liozu, S. M., &amp; Hinterhuber, A. (2013). Pricing orientation, pricing capabilities, and firm performance. Management Decision, 51(3), 594–614.</w:t>
      </w:r>
    </w:p>
    <w:p w14:paraId="3A67190A" w14:textId="77777777" w:rsidR="00F86616" w:rsidRPr="00670FFD" w:rsidRDefault="00F86616" w:rsidP="00670FFD">
      <w:pPr>
        <w:spacing w:after="120" w:line="276" w:lineRule="auto"/>
        <w:ind w:left="720" w:hanging="720"/>
        <w:jc w:val="both"/>
        <w:rPr>
          <w:rFonts w:ascii="Arial" w:hAnsi="Arial" w:cs="Arial"/>
          <w:sz w:val="22"/>
          <w:szCs w:val="22"/>
        </w:rPr>
      </w:pPr>
      <w:r w:rsidRPr="00670FFD">
        <w:rPr>
          <w:rFonts w:ascii="Arial" w:hAnsi="Arial" w:cs="Arial"/>
          <w:sz w:val="22"/>
          <w:szCs w:val="22"/>
        </w:rPr>
        <w:t>Töytäri, P., Keränen, J., &amp; Rajala, R. (2017). Barriers to implementing value-based pricing in industrial markets: A micro-foundations perspective. Journal of Business Research, 76, 237–246.</w:t>
      </w:r>
    </w:p>
    <w:p w14:paraId="20386DBA" w14:textId="77777777" w:rsidR="00F86616" w:rsidRPr="00670FFD" w:rsidRDefault="00F86616" w:rsidP="00670FFD">
      <w:pPr>
        <w:spacing w:after="120" w:line="276" w:lineRule="auto"/>
        <w:ind w:left="720" w:hanging="720"/>
        <w:jc w:val="both"/>
        <w:rPr>
          <w:rFonts w:ascii="Arial" w:hAnsi="Arial" w:cs="Arial"/>
          <w:sz w:val="22"/>
          <w:szCs w:val="22"/>
        </w:rPr>
      </w:pPr>
      <w:r w:rsidRPr="00670FFD">
        <w:rPr>
          <w:rFonts w:ascii="Arial" w:hAnsi="Arial" w:cs="Arial"/>
          <w:sz w:val="22"/>
          <w:szCs w:val="22"/>
          <w:lang w:val="pl-PL"/>
        </w:rPr>
        <w:t xml:space="preserve">Tian, Z., Pajić, V., &amp; Kilibarda, M. (2024). </w:t>
      </w:r>
      <w:r w:rsidRPr="00670FFD">
        <w:rPr>
          <w:rFonts w:ascii="Arial" w:hAnsi="Arial" w:cs="Arial"/>
          <w:sz w:val="22"/>
          <w:szCs w:val="22"/>
        </w:rPr>
        <w:t>Enhancing distribution efficiency through OTIF performance evaluation. Mathematics, 12(21), 3372.</w:t>
      </w:r>
    </w:p>
    <w:p w14:paraId="2FD62AEC" w14:textId="77777777" w:rsidR="00F86616" w:rsidRPr="00670FFD" w:rsidRDefault="00F86616" w:rsidP="00670FFD">
      <w:pPr>
        <w:spacing w:after="120" w:line="276" w:lineRule="auto"/>
        <w:ind w:left="720" w:hanging="720"/>
        <w:jc w:val="both"/>
        <w:rPr>
          <w:rFonts w:ascii="Arial" w:hAnsi="Arial" w:cs="Arial"/>
          <w:sz w:val="22"/>
          <w:szCs w:val="22"/>
        </w:rPr>
      </w:pPr>
      <w:r w:rsidRPr="00670FFD">
        <w:rPr>
          <w:rFonts w:ascii="Arial" w:hAnsi="Arial" w:cs="Arial"/>
          <w:sz w:val="22"/>
          <w:szCs w:val="22"/>
        </w:rPr>
        <w:t>McKinsey &amp; Company. (2019). Defining 'on-time, in-full' in the consumer sector. </w:t>
      </w:r>
      <w:hyperlink r:id="rId10" w:tgtFrame="_blank" w:history="1">
        <w:r w:rsidRPr="00670FFD">
          <w:rPr>
            <w:rStyle w:val="Hyperlink"/>
            <w:rFonts w:ascii="Arial" w:hAnsi="Arial" w:cs="Arial"/>
            <w:b/>
            <w:bCs/>
            <w:sz w:val="22"/>
            <w:szCs w:val="22"/>
            <w:u w:val="none"/>
          </w:rPr>
          <w:t>https://www.mckinsey.com/capabilities/operations/our-insights/defining-on-time-in-full-in-the-consumer-sector</w:t>
        </w:r>
      </w:hyperlink>
    </w:p>
    <w:p w14:paraId="6FE12C5A" w14:textId="77777777" w:rsidR="00003B79" w:rsidRPr="00670FFD" w:rsidRDefault="00003B79" w:rsidP="00670FFD">
      <w:pPr>
        <w:spacing w:after="120" w:line="276" w:lineRule="auto"/>
        <w:jc w:val="both"/>
        <w:rPr>
          <w:rFonts w:ascii="Arial" w:hAnsi="Arial" w:cs="Arial"/>
          <w:sz w:val="22"/>
          <w:szCs w:val="22"/>
        </w:rPr>
      </w:pPr>
    </w:p>
    <w:sectPr w:rsidR="00003B79" w:rsidRPr="00670FFD" w:rsidSect="00670FFD">
      <w:type w:val="continuous"/>
      <w:pgSz w:w="11906" w:h="16838" w:code="9"/>
      <w:pgMar w:top="1440" w:right="1440" w:bottom="1440" w:left="1440" w:header="1008" w:footer="720" w:gutter="0"/>
      <w:pgNumType w:start="32"/>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0B590" w14:textId="77777777" w:rsidR="00FE64F9" w:rsidRDefault="00FE64F9" w:rsidP="00670FFD">
      <w:pPr>
        <w:spacing w:after="0" w:line="240" w:lineRule="auto"/>
      </w:pPr>
      <w:r>
        <w:separator/>
      </w:r>
    </w:p>
  </w:endnote>
  <w:endnote w:type="continuationSeparator" w:id="0">
    <w:p w14:paraId="7972245B" w14:textId="77777777" w:rsidR="00FE64F9" w:rsidRDefault="00FE64F9" w:rsidP="0067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Aptos Display">
    <w:altName w:val="Arial"/>
    <w:charset w:val="00"/>
    <w:family w:val="swiss"/>
    <w:pitch w:val="variable"/>
    <w:sig w:usb0="00000001" w:usb1="00000003" w:usb2="00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3AF1" w14:textId="77777777" w:rsidR="00FE64F9" w:rsidRDefault="00FE64F9" w:rsidP="00670FFD">
      <w:pPr>
        <w:spacing w:after="0" w:line="240" w:lineRule="auto"/>
      </w:pPr>
      <w:r>
        <w:separator/>
      </w:r>
    </w:p>
  </w:footnote>
  <w:footnote w:type="continuationSeparator" w:id="0">
    <w:p w14:paraId="420B8D5E" w14:textId="77777777" w:rsidR="00FE64F9" w:rsidRDefault="00FE64F9" w:rsidP="00670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C195A" w14:textId="397B98FA" w:rsidR="00670FFD" w:rsidRPr="00670FFD" w:rsidRDefault="00670FFD" w:rsidP="00670FFD">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BD681A">
      <w:rPr>
        <w:rFonts w:ascii="Arial" w:hAnsi="Arial" w:cs="Arial"/>
        <w:i/>
        <w:iCs/>
        <w:sz w:val="16"/>
        <w:szCs w:val="16"/>
      </w:rPr>
      <w:t>Mehul Kumar Jain, Bharath Sampath</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A96ABA">
      <w:rPr>
        <w:rFonts w:ascii="Arial" w:hAnsi="Arial" w:cs="Arial"/>
        <w:noProof/>
        <w:sz w:val="16"/>
        <w:szCs w:val="16"/>
      </w:rPr>
      <w:t>32</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F61D" w14:textId="17B1CF5D" w:rsidR="00670FFD" w:rsidRPr="00670FFD" w:rsidRDefault="00670FFD" w:rsidP="00670FFD">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A96ABA">
      <w:rPr>
        <w:rFonts w:ascii="Arial" w:hAnsi="Arial" w:cs="Arial"/>
        <w:noProof/>
        <w:sz w:val="16"/>
        <w:szCs w:val="16"/>
      </w:rPr>
      <w:t>35</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w:t>
    </w:r>
    <w:r w:rsidR="00A96ABA">
      <w:rPr>
        <w:rFonts w:ascii="Arial" w:eastAsia="Arial" w:hAnsi="Arial" w:cs="Arial"/>
        <w:i/>
        <w:color w:val="000000"/>
        <w:spacing w:val="-1"/>
        <w:sz w:val="16"/>
        <w:szCs w:val="16"/>
      </w:rPr>
      <w:t>December</w:t>
    </w:r>
    <w:r>
      <w:rPr>
        <w:rFonts w:ascii="Arial" w:eastAsia="Arial" w:hAnsi="Arial" w:cs="Arial"/>
        <w:i/>
        <w:color w:val="000000"/>
        <w:spacing w:val="-1"/>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60C5E"/>
    <w:multiLevelType w:val="multilevel"/>
    <w:tmpl w:val="5ADC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E0E6F"/>
    <w:multiLevelType w:val="multilevel"/>
    <w:tmpl w:val="D8E6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4B409C"/>
    <w:multiLevelType w:val="multilevel"/>
    <w:tmpl w:val="D6EA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7D5C08"/>
    <w:multiLevelType w:val="multilevel"/>
    <w:tmpl w:val="BAF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940E7C"/>
    <w:multiLevelType w:val="multilevel"/>
    <w:tmpl w:val="D1F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07"/>
    <w:rsid w:val="00003B79"/>
    <w:rsid w:val="00060203"/>
    <w:rsid w:val="001C6645"/>
    <w:rsid w:val="001D4B3F"/>
    <w:rsid w:val="0045699F"/>
    <w:rsid w:val="00670FFD"/>
    <w:rsid w:val="006F4907"/>
    <w:rsid w:val="00724504"/>
    <w:rsid w:val="007409D4"/>
    <w:rsid w:val="007E0FCD"/>
    <w:rsid w:val="00A305DD"/>
    <w:rsid w:val="00A96ABA"/>
    <w:rsid w:val="00AB60CC"/>
    <w:rsid w:val="00BD681A"/>
    <w:rsid w:val="00C84CD9"/>
    <w:rsid w:val="00CC4364"/>
    <w:rsid w:val="00E76F2D"/>
    <w:rsid w:val="00F86616"/>
    <w:rsid w:val="00FE64F9"/>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B6B6"/>
  <w15:chartTrackingRefBased/>
  <w15:docId w15:val="{4BB160B2-D8E7-4B94-9B94-C0F0065C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4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907"/>
    <w:rPr>
      <w:rFonts w:eastAsiaTheme="majorEastAsia" w:cstheme="majorBidi"/>
      <w:color w:val="272727" w:themeColor="text1" w:themeTint="D8"/>
    </w:rPr>
  </w:style>
  <w:style w:type="paragraph" w:styleId="Title">
    <w:name w:val="Title"/>
    <w:basedOn w:val="Normal"/>
    <w:next w:val="Normal"/>
    <w:link w:val="TitleChar"/>
    <w:uiPriority w:val="10"/>
    <w:qFormat/>
    <w:rsid w:val="006F4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907"/>
    <w:pPr>
      <w:spacing w:before="160"/>
      <w:jc w:val="center"/>
    </w:pPr>
    <w:rPr>
      <w:i/>
      <w:iCs/>
      <w:color w:val="404040" w:themeColor="text1" w:themeTint="BF"/>
    </w:rPr>
  </w:style>
  <w:style w:type="character" w:customStyle="1" w:styleId="QuoteChar">
    <w:name w:val="Quote Char"/>
    <w:basedOn w:val="DefaultParagraphFont"/>
    <w:link w:val="Quote"/>
    <w:uiPriority w:val="29"/>
    <w:rsid w:val="006F4907"/>
    <w:rPr>
      <w:i/>
      <w:iCs/>
      <w:color w:val="404040" w:themeColor="text1" w:themeTint="BF"/>
    </w:rPr>
  </w:style>
  <w:style w:type="paragraph" w:styleId="ListParagraph">
    <w:name w:val="List Paragraph"/>
    <w:basedOn w:val="Normal"/>
    <w:uiPriority w:val="34"/>
    <w:qFormat/>
    <w:rsid w:val="006F4907"/>
    <w:pPr>
      <w:ind w:left="720"/>
      <w:contextualSpacing/>
    </w:pPr>
  </w:style>
  <w:style w:type="character" w:styleId="IntenseEmphasis">
    <w:name w:val="Intense Emphasis"/>
    <w:basedOn w:val="DefaultParagraphFont"/>
    <w:uiPriority w:val="21"/>
    <w:qFormat/>
    <w:rsid w:val="006F4907"/>
    <w:rPr>
      <w:i/>
      <w:iCs/>
      <w:color w:val="0F4761" w:themeColor="accent1" w:themeShade="BF"/>
    </w:rPr>
  </w:style>
  <w:style w:type="paragraph" w:styleId="IntenseQuote">
    <w:name w:val="Intense Quote"/>
    <w:basedOn w:val="Normal"/>
    <w:next w:val="Normal"/>
    <w:link w:val="IntenseQuoteChar"/>
    <w:uiPriority w:val="30"/>
    <w:qFormat/>
    <w:rsid w:val="006F4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907"/>
    <w:rPr>
      <w:i/>
      <w:iCs/>
      <w:color w:val="0F4761" w:themeColor="accent1" w:themeShade="BF"/>
    </w:rPr>
  </w:style>
  <w:style w:type="character" w:styleId="IntenseReference">
    <w:name w:val="Intense Reference"/>
    <w:basedOn w:val="DefaultParagraphFont"/>
    <w:uiPriority w:val="32"/>
    <w:qFormat/>
    <w:rsid w:val="006F4907"/>
    <w:rPr>
      <w:b/>
      <w:bCs/>
      <w:smallCaps/>
      <w:color w:val="0F4761" w:themeColor="accent1" w:themeShade="BF"/>
      <w:spacing w:val="5"/>
    </w:rPr>
  </w:style>
  <w:style w:type="character" w:styleId="Hyperlink">
    <w:name w:val="Hyperlink"/>
    <w:basedOn w:val="DefaultParagraphFont"/>
    <w:uiPriority w:val="99"/>
    <w:unhideWhenUsed/>
    <w:rsid w:val="00F86616"/>
    <w:rPr>
      <w:color w:val="467886" w:themeColor="hyperlink"/>
      <w:u w:val="single"/>
    </w:rPr>
  </w:style>
  <w:style w:type="character" w:customStyle="1" w:styleId="UnresolvedMention">
    <w:name w:val="Unresolved Mention"/>
    <w:basedOn w:val="DefaultParagraphFont"/>
    <w:uiPriority w:val="99"/>
    <w:semiHidden/>
    <w:unhideWhenUsed/>
    <w:rsid w:val="00F86616"/>
    <w:rPr>
      <w:color w:val="605E5C"/>
      <w:shd w:val="clear" w:color="auto" w:fill="E1DFDD"/>
    </w:rPr>
  </w:style>
  <w:style w:type="paragraph" w:styleId="Header">
    <w:name w:val="header"/>
    <w:basedOn w:val="Normal"/>
    <w:link w:val="HeaderChar"/>
    <w:uiPriority w:val="99"/>
    <w:unhideWhenUsed/>
    <w:rsid w:val="00670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FFD"/>
  </w:style>
  <w:style w:type="paragraph" w:styleId="Footer">
    <w:name w:val="footer"/>
    <w:basedOn w:val="Normal"/>
    <w:link w:val="FooterChar"/>
    <w:uiPriority w:val="99"/>
    <w:unhideWhenUsed/>
    <w:rsid w:val="00670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FFD"/>
  </w:style>
  <w:style w:type="table" w:styleId="TableGrid">
    <w:name w:val="Table Grid"/>
    <w:basedOn w:val="TableNormal"/>
    <w:uiPriority w:val="39"/>
    <w:rsid w:val="00670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69827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ckinsey.com/capabilities/operations/our-insights/defining-on-time-in-full-in-the-consumer-sector"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chandran</dc:creator>
  <cp:keywords/>
  <dc:description/>
  <cp:lastModifiedBy>CMS-STAFF139</cp:lastModifiedBy>
  <cp:revision>2</cp:revision>
  <dcterms:created xsi:type="dcterms:W3CDTF">2025-11-24T10:09:00Z</dcterms:created>
  <dcterms:modified xsi:type="dcterms:W3CDTF">2025-11-24T10:09:00Z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2025-10-30T04:10:11Z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91912795-1492-442a-b5ae-519a99fb077f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