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043BD" w14:textId="4F28930F" w:rsidR="00945C46" w:rsidRDefault="00CE7005" w:rsidP="00CE7005">
      <w:pPr>
        <w:spacing w:after="0" w:line="160" w:lineRule="atLeast"/>
        <w:jc w:val="both"/>
        <w:rPr>
          <w:rFonts w:ascii="Arial" w:eastAsia="Arial" w:hAnsi="Arial" w:cs="Arial"/>
          <w:i/>
          <w:color w:val="000000" w:themeColor="text1"/>
          <w:spacing w:val="-1"/>
          <w:sz w:val="14"/>
          <w:szCs w:val="14"/>
        </w:rPr>
      </w:pPr>
      <w:bookmarkStart w:id="0" w:name="_Hlk214371776"/>
      <w:r w:rsidRPr="00FA13C3">
        <w:rPr>
          <w:rFonts w:ascii="Arial" w:eastAsia="Arial" w:hAnsi="Arial" w:cs="Arial"/>
          <w:i/>
          <w:color w:val="000000"/>
          <w:sz w:val="14"/>
          <w:szCs w:val="14"/>
        </w:rPr>
        <w:t>©</w:t>
      </w:r>
      <w:r w:rsidRPr="00FA13C3">
        <w:rPr>
          <w:rFonts w:ascii="Arial" w:eastAsia="Arial" w:hAnsi="Arial" w:cs="Arial"/>
          <w:i/>
          <w:color w:val="000000"/>
          <w:spacing w:val="-1"/>
          <w:sz w:val="14"/>
          <w:szCs w:val="14"/>
        </w:rPr>
        <w:t xml:space="preserve"> </w:t>
      </w:r>
      <w:r w:rsidRPr="00FA13C3">
        <w:rPr>
          <w:rFonts w:ascii="Arial" w:eastAsia="Arial" w:hAnsi="Arial" w:cs="Arial"/>
          <w:i/>
          <w:color w:val="000000"/>
          <w:sz w:val="14"/>
          <w:szCs w:val="14"/>
        </w:rPr>
        <w:t>International</w:t>
      </w:r>
      <w:r w:rsidRPr="00FA13C3">
        <w:rPr>
          <w:rFonts w:ascii="Arial" w:eastAsia="Arial" w:hAnsi="Arial" w:cs="Arial"/>
          <w:i/>
          <w:color w:val="000000"/>
          <w:spacing w:val="-1"/>
          <w:sz w:val="14"/>
          <w:szCs w:val="14"/>
        </w:rPr>
        <w:t xml:space="preserve"> Academic Research Journal of Business and Management</w:t>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sidR="00945C46">
        <w:rPr>
          <w:rFonts w:ascii="Arial" w:eastAsia="Arial" w:hAnsi="Arial" w:cs="Arial"/>
          <w:i/>
          <w:color w:val="000000"/>
          <w:spacing w:val="-1"/>
          <w:sz w:val="14"/>
          <w:szCs w:val="14"/>
        </w:rPr>
        <w:tab/>
      </w:r>
      <w:r w:rsidR="00945C46">
        <w:rPr>
          <w:rFonts w:ascii="Arial" w:eastAsia="Arial" w:hAnsi="Arial" w:cs="Arial"/>
          <w:i/>
          <w:color w:val="000000"/>
          <w:spacing w:val="-1"/>
          <w:sz w:val="14"/>
          <w:szCs w:val="14"/>
        </w:rPr>
        <w:tab/>
      </w:r>
      <w:r w:rsidRPr="00812D87">
        <w:rPr>
          <w:rFonts w:ascii="Arial" w:eastAsia="Arial" w:hAnsi="Arial" w:cs="Arial"/>
          <w:i/>
          <w:color w:val="000000" w:themeColor="text1"/>
          <w:spacing w:val="-1"/>
          <w:sz w:val="14"/>
          <w:szCs w:val="14"/>
        </w:rPr>
        <w:t>ISSN:2227-1287</w:t>
      </w:r>
    </w:p>
    <w:p w14:paraId="2DE97CF5" w14:textId="755B78D7" w:rsidR="00F13FAA" w:rsidRDefault="00CE7005" w:rsidP="00CE7005">
      <w:pPr>
        <w:spacing w:after="0" w:line="160" w:lineRule="atLeast"/>
        <w:jc w:val="both"/>
        <w:rPr>
          <w:rFonts w:ascii="Arial" w:eastAsia="Arial" w:hAnsi="Arial" w:cs="Arial"/>
          <w:i/>
          <w:color w:val="000000"/>
          <w:spacing w:val="-1"/>
          <w:sz w:val="14"/>
          <w:szCs w:val="14"/>
        </w:rPr>
      </w:pPr>
      <w:r w:rsidRPr="00DF2646">
        <w:rPr>
          <w:rFonts w:ascii="Arial" w:eastAsia="Arial" w:hAnsi="Arial" w:cs="Arial"/>
          <w:i/>
          <w:color w:val="000000"/>
          <w:spacing w:val="-1"/>
          <w:sz w:val="14"/>
          <w:szCs w:val="14"/>
        </w:rPr>
        <w:t>Volume 13, Iss</w:t>
      </w:r>
      <w:r>
        <w:rPr>
          <w:rFonts w:ascii="Arial" w:eastAsia="Arial" w:hAnsi="Arial" w:cs="Arial"/>
          <w:i/>
          <w:color w:val="000000"/>
          <w:spacing w:val="-1"/>
          <w:sz w:val="14"/>
          <w:szCs w:val="14"/>
        </w:rPr>
        <w:t>ue</w:t>
      </w:r>
      <w:r w:rsidRPr="00DF2646">
        <w:rPr>
          <w:rFonts w:ascii="Arial" w:eastAsia="Arial" w:hAnsi="Arial" w:cs="Arial"/>
          <w:i/>
          <w:color w:val="000000"/>
          <w:spacing w:val="-1"/>
          <w:sz w:val="14"/>
          <w:szCs w:val="14"/>
        </w:rPr>
        <w:t xml:space="preserve"> No:</w:t>
      </w:r>
      <w:r>
        <w:rPr>
          <w:rFonts w:ascii="Arial" w:eastAsia="Arial" w:hAnsi="Arial" w:cs="Arial"/>
          <w:i/>
          <w:color w:val="000000"/>
          <w:spacing w:val="-1"/>
          <w:sz w:val="14"/>
          <w:szCs w:val="14"/>
        </w:rPr>
        <w:t>2</w:t>
      </w:r>
      <w:r w:rsidRPr="00DF2646">
        <w:rPr>
          <w:rFonts w:ascii="Arial" w:eastAsia="Arial" w:hAnsi="Arial" w:cs="Arial"/>
          <w:i/>
          <w:color w:val="000000"/>
          <w:spacing w:val="-1"/>
          <w:sz w:val="14"/>
          <w:szCs w:val="14"/>
        </w:rPr>
        <w:t xml:space="preserve">, </w:t>
      </w:r>
      <w:r w:rsidR="00F13FAA">
        <w:rPr>
          <w:rFonts w:ascii="Arial" w:eastAsia="Arial" w:hAnsi="Arial" w:cs="Arial"/>
          <w:i/>
          <w:color w:val="000000"/>
          <w:spacing w:val="-1"/>
          <w:sz w:val="14"/>
          <w:szCs w:val="14"/>
        </w:rPr>
        <w:t>Dec</w:t>
      </w:r>
      <w:r>
        <w:rPr>
          <w:rFonts w:ascii="Arial" w:eastAsia="Arial" w:hAnsi="Arial" w:cs="Arial"/>
          <w:i/>
          <w:color w:val="000000"/>
          <w:spacing w:val="-1"/>
          <w:sz w:val="14"/>
          <w:szCs w:val="14"/>
        </w:rPr>
        <w:t>ember</w:t>
      </w:r>
      <w:r w:rsidRPr="00DF2646">
        <w:rPr>
          <w:rFonts w:ascii="Arial" w:eastAsia="Arial" w:hAnsi="Arial" w:cs="Arial"/>
          <w:i/>
          <w:color w:val="000000"/>
          <w:spacing w:val="-1"/>
          <w:sz w:val="14"/>
          <w:szCs w:val="14"/>
        </w:rPr>
        <w:t xml:space="preserve"> 2025</w:t>
      </w:r>
      <w:r w:rsidR="00945C46">
        <w:rPr>
          <w:rFonts w:ascii="Arial" w:eastAsia="Arial" w:hAnsi="Arial" w:cs="Arial"/>
          <w:i/>
          <w:color w:val="000000"/>
          <w:spacing w:val="-1"/>
          <w:sz w:val="14"/>
          <w:szCs w:val="14"/>
        </w:rPr>
        <w:tab/>
      </w:r>
      <w:r w:rsidR="00945C46">
        <w:rPr>
          <w:rFonts w:ascii="Arial" w:eastAsia="Arial" w:hAnsi="Arial" w:cs="Arial"/>
          <w:i/>
          <w:color w:val="000000"/>
          <w:spacing w:val="-1"/>
          <w:sz w:val="14"/>
          <w:szCs w:val="14"/>
        </w:rPr>
        <w:tab/>
      </w:r>
      <w:r w:rsidR="00945C46">
        <w:rPr>
          <w:rFonts w:ascii="Arial" w:eastAsia="Arial" w:hAnsi="Arial" w:cs="Arial"/>
          <w:i/>
          <w:color w:val="000000"/>
          <w:spacing w:val="-1"/>
          <w:sz w:val="14"/>
          <w:szCs w:val="14"/>
        </w:rPr>
        <w:tab/>
      </w:r>
      <w:r w:rsidR="00945C46">
        <w:rPr>
          <w:rFonts w:ascii="Arial" w:eastAsia="Arial" w:hAnsi="Arial" w:cs="Arial"/>
          <w:i/>
          <w:color w:val="000000"/>
          <w:spacing w:val="-1"/>
          <w:sz w:val="14"/>
          <w:szCs w:val="14"/>
        </w:rPr>
        <w:tab/>
      </w:r>
      <w:r w:rsidR="00945C46">
        <w:rPr>
          <w:rFonts w:ascii="Arial" w:eastAsia="Arial" w:hAnsi="Arial" w:cs="Arial"/>
          <w:i/>
          <w:color w:val="000000"/>
          <w:spacing w:val="-1"/>
          <w:sz w:val="14"/>
          <w:szCs w:val="14"/>
        </w:rPr>
        <w:tab/>
        <w:t xml:space="preserve">           </w:t>
      </w:r>
      <w:r w:rsidR="00F13FAA">
        <w:rPr>
          <w:rFonts w:ascii="Arial" w:eastAsia="Arial" w:hAnsi="Arial" w:cs="Arial"/>
          <w:i/>
          <w:color w:val="000000"/>
          <w:spacing w:val="-1"/>
          <w:sz w:val="14"/>
          <w:szCs w:val="14"/>
        </w:rPr>
        <w:t>DOI:</w:t>
      </w:r>
      <w:r w:rsidR="00F13FAA" w:rsidRPr="00F13FAA">
        <w:t xml:space="preserve"> </w:t>
      </w:r>
      <w:hyperlink r:id="rId7" w:history="1">
        <w:r w:rsidR="00D0270C" w:rsidRPr="00DA571B">
          <w:rPr>
            <w:rStyle w:val="Hyperlink"/>
            <w:rFonts w:ascii="Arial" w:eastAsia="Arial" w:hAnsi="Arial" w:cs="Arial"/>
            <w:i/>
            <w:spacing w:val="-1"/>
            <w:sz w:val="14"/>
            <w:szCs w:val="14"/>
          </w:rPr>
          <w:t>https://doi.org/10.5281/zenodo.17825969</w:t>
        </w:r>
      </w:hyperlink>
    </w:p>
    <w:bookmarkEnd w:id="0"/>
    <w:p w14:paraId="2CF197B9" w14:textId="77777777" w:rsidR="00CE7005" w:rsidRPr="00CE7005" w:rsidRDefault="00CE7005" w:rsidP="000F0510">
      <w:pPr>
        <w:jc w:val="center"/>
        <w:rPr>
          <w:rFonts w:ascii="Times New Roman" w:hAnsi="Times New Roman" w:cs="Times New Roman"/>
          <w:b/>
          <w:bCs/>
          <w:sz w:val="10"/>
          <w:szCs w:val="10"/>
        </w:rPr>
      </w:pPr>
    </w:p>
    <w:p w14:paraId="162CF29C" w14:textId="34D00F8E" w:rsidR="000F0510" w:rsidRPr="00CE7005" w:rsidRDefault="000F0510" w:rsidP="00CE7005">
      <w:pPr>
        <w:spacing w:after="0" w:line="240" w:lineRule="auto"/>
        <w:jc w:val="center"/>
        <w:rPr>
          <w:rFonts w:ascii="Times New Roman" w:hAnsi="Times New Roman" w:cs="Times New Roman"/>
          <w:b/>
          <w:bCs/>
          <w:sz w:val="32"/>
          <w:szCs w:val="32"/>
        </w:rPr>
      </w:pPr>
      <w:r w:rsidRPr="00CE7005">
        <w:rPr>
          <w:rFonts w:ascii="Times New Roman" w:hAnsi="Times New Roman" w:cs="Times New Roman"/>
          <w:b/>
          <w:bCs/>
          <w:sz w:val="32"/>
          <w:szCs w:val="32"/>
        </w:rPr>
        <w:t xml:space="preserve">Optimizing Financial Inclusion: Sustainable Lending Model of </w:t>
      </w:r>
    </w:p>
    <w:p w14:paraId="11F6F620" w14:textId="3804408B" w:rsidR="000F0510" w:rsidRDefault="000F0510" w:rsidP="00CE7005">
      <w:pPr>
        <w:spacing w:after="0" w:line="240" w:lineRule="auto"/>
        <w:jc w:val="center"/>
        <w:rPr>
          <w:rFonts w:ascii="Times New Roman" w:hAnsi="Times New Roman" w:cs="Times New Roman"/>
          <w:b/>
          <w:bCs/>
          <w:sz w:val="32"/>
          <w:szCs w:val="32"/>
        </w:rPr>
      </w:pPr>
      <w:r w:rsidRPr="00CE7005">
        <w:rPr>
          <w:rFonts w:ascii="Times New Roman" w:hAnsi="Times New Roman" w:cs="Times New Roman"/>
          <w:b/>
          <w:bCs/>
          <w:sz w:val="32"/>
          <w:szCs w:val="32"/>
        </w:rPr>
        <w:t>IFMR Capital</w:t>
      </w:r>
    </w:p>
    <w:p w14:paraId="7796C6A6" w14:textId="77777777" w:rsidR="00CE7005" w:rsidRPr="00CE7005" w:rsidRDefault="00CE7005" w:rsidP="00CE7005">
      <w:pPr>
        <w:spacing w:line="240" w:lineRule="auto"/>
        <w:jc w:val="center"/>
        <w:rPr>
          <w:rFonts w:ascii="Times New Roman" w:hAnsi="Times New Roman" w:cs="Times New Roman"/>
          <w:b/>
          <w:bCs/>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3780"/>
      </w:tblGrid>
      <w:tr w:rsidR="00CE7005" w14:paraId="39867725" w14:textId="77777777" w:rsidTr="00D83035">
        <w:trPr>
          <w:trHeight w:val="508"/>
          <w:jc w:val="center"/>
        </w:trPr>
        <w:tc>
          <w:tcPr>
            <w:tcW w:w="3595" w:type="dxa"/>
          </w:tcPr>
          <w:p w14:paraId="30B135DE" w14:textId="77777777" w:rsidR="00CE7005" w:rsidRPr="00945C46" w:rsidRDefault="00CE7005" w:rsidP="00CE7005">
            <w:pPr>
              <w:jc w:val="center"/>
              <w:rPr>
                <w:rFonts w:ascii="Calibri" w:hAnsi="Calibri" w:cs="Calibri"/>
                <w:b/>
                <w:bCs/>
                <w:i/>
                <w:iCs/>
                <w:sz w:val="16"/>
                <w:szCs w:val="16"/>
              </w:rPr>
            </w:pPr>
            <w:r w:rsidRPr="00945C46">
              <w:rPr>
                <w:rFonts w:ascii="Calibri" w:hAnsi="Calibri" w:cs="Calibri"/>
                <w:b/>
                <w:bCs/>
                <w:i/>
                <w:iCs/>
                <w:sz w:val="16"/>
                <w:szCs w:val="16"/>
              </w:rPr>
              <w:t>Chethan Bhandary</w:t>
            </w:r>
          </w:p>
          <w:p w14:paraId="5A8BD60A" w14:textId="77777777" w:rsidR="00CE7005" w:rsidRPr="00CE7005" w:rsidRDefault="00CE7005" w:rsidP="00CE7005">
            <w:pPr>
              <w:jc w:val="center"/>
              <w:rPr>
                <w:rFonts w:ascii="Calibri" w:hAnsi="Calibri" w:cs="Calibri"/>
                <w:sz w:val="16"/>
                <w:szCs w:val="16"/>
              </w:rPr>
            </w:pPr>
            <w:r w:rsidRPr="00CE7005">
              <w:rPr>
                <w:rFonts w:ascii="Calibri" w:hAnsi="Calibri" w:cs="Calibri"/>
                <w:sz w:val="16"/>
                <w:szCs w:val="16"/>
              </w:rPr>
              <w:t xml:space="preserve">MBA Student, Faculty of Management Studies, </w:t>
            </w:r>
          </w:p>
          <w:p w14:paraId="102EC4CE" w14:textId="77777777" w:rsidR="00CE7005" w:rsidRPr="00CE7005" w:rsidRDefault="00CE7005" w:rsidP="00CE7005">
            <w:pPr>
              <w:jc w:val="center"/>
              <w:rPr>
                <w:rFonts w:ascii="Calibri" w:hAnsi="Calibri" w:cs="Calibri"/>
                <w:sz w:val="16"/>
                <w:szCs w:val="16"/>
              </w:rPr>
            </w:pPr>
            <w:r w:rsidRPr="00CE7005">
              <w:rPr>
                <w:rFonts w:ascii="Calibri" w:hAnsi="Calibri" w:cs="Calibri"/>
                <w:sz w:val="16"/>
                <w:szCs w:val="16"/>
              </w:rPr>
              <w:t xml:space="preserve">CMS Business School, </w:t>
            </w:r>
          </w:p>
          <w:p w14:paraId="1E82A597" w14:textId="510B4FBD" w:rsidR="00CE7005" w:rsidRPr="00CE7005" w:rsidRDefault="00CE7005" w:rsidP="00CE7005">
            <w:pPr>
              <w:jc w:val="center"/>
              <w:rPr>
                <w:rFonts w:ascii="Calibri" w:hAnsi="Calibri" w:cs="Calibri"/>
                <w:sz w:val="16"/>
                <w:szCs w:val="16"/>
              </w:rPr>
            </w:pPr>
            <w:r w:rsidRPr="00CE7005">
              <w:rPr>
                <w:rFonts w:ascii="Calibri" w:hAnsi="Calibri" w:cs="Calibri"/>
                <w:sz w:val="16"/>
                <w:szCs w:val="16"/>
              </w:rPr>
              <w:t>Jain (Deemed-to-be University), Bangalore.</w:t>
            </w:r>
          </w:p>
        </w:tc>
        <w:tc>
          <w:tcPr>
            <w:tcW w:w="3780" w:type="dxa"/>
          </w:tcPr>
          <w:p w14:paraId="2661BAA1" w14:textId="77777777" w:rsidR="00CE7005" w:rsidRPr="00945C46" w:rsidRDefault="00CE7005" w:rsidP="00CE7005">
            <w:pPr>
              <w:jc w:val="center"/>
              <w:rPr>
                <w:rFonts w:ascii="Calibri" w:hAnsi="Calibri" w:cs="Calibri"/>
                <w:b/>
                <w:bCs/>
                <w:i/>
                <w:iCs/>
                <w:sz w:val="16"/>
                <w:szCs w:val="16"/>
              </w:rPr>
            </w:pPr>
            <w:proofErr w:type="spellStart"/>
            <w:r w:rsidRPr="00945C46">
              <w:rPr>
                <w:rFonts w:ascii="Calibri" w:hAnsi="Calibri" w:cs="Calibri"/>
                <w:b/>
                <w:bCs/>
                <w:i/>
                <w:iCs/>
                <w:sz w:val="16"/>
                <w:szCs w:val="16"/>
              </w:rPr>
              <w:t>Yogananthan</w:t>
            </w:r>
            <w:proofErr w:type="spellEnd"/>
            <w:r w:rsidRPr="00945C46">
              <w:rPr>
                <w:rFonts w:ascii="Calibri" w:hAnsi="Calibri" w:cs="Calibri"/>
                <w:b/>
                <w:bCs/>
                <w:i/>
                <w:iCs/>
                <w:sz w:val="16"/>
                <w:szCs w:val="16"/>
              </w:rPr>
              <w:t xml:space="preserve"> S</w:t>
            </w:r>
          </w:p>
          <w:p w14:paraId="6802085F" w14:textId="77777777" w:rsidR="00CE7005" w:rsidRPr="00CE7005" w:rsidRDefault="00CE7005" w:rsidP="00CE7005">
            <w:pPr>
              <w:jc w:val="center"/>
              <w:rPr>
                <w:rFonts w:ascii="Calibri" w:hAnsi="Calibri" w:cs="Calibri"/>
                <w:sz w:val="16"/>
                <w:szCs w:val="16"/>
              </w:rPr>
            </w:pPr>
            <w:r w:rsidRPr="00CE7005">
              <w:rPr>
                <w:rFonts w:ascii="Calibri" w:hAnsi="Calibri" w:cs="Calibri"/>
                <w:sz w:val="16"/>
                <w:szCs w:val="16"/>
              </w:rPr>
              <w:t xml:space="preserve">Associate Professor, Faculty of Management Studies, </w:t>
            </w:r>
          </w:p>
          <w:p w14:paraId="1E7B68EB" w14:textId="77777777" w:rsidR="00CE7005" w:rsidRPr="00CE7005" w:rsidRDefault="00CE7005" w:rsidP="00CE7005">
            <w:pPr>
              <w:jc w:val="center"/>
              <w:rPr>
                <w:rFonts w:ascii="Calibri" w:hAnsi="Calibri" w:cs="Calibri"/>
                <w:sz w:val="16"/>
                <w:szCs w:val="16"/>
              </w:rPr>
            </w:pPr>
            <w:r w:rsidRPr="00CE7005">
              <w:rPr>
                <w:rFonts w:ascii="Calibri" w:hAnsi="Calibri" w:cs="Calibri"/>
                <w:sz w:val="16"/>
                <w:szCs w:val="16"/>
              </w:rPr>
              <w:t xml:space="preserve">CMS Business School, </w:t>
            </w:r>
          </w:p>
          <w:p w14:paraId="15174A34" w14:textId="58159EA3" w:rsidR="00CE7005" w:rsidRPr="00CE7005" w:rsidRDefault="00CE7005" w:rsidP="00CE7005">
            <w:pPr>
              <w:jc w:val="center"/>
              <w:rPr>
                <w:rFonts w:ascii="Calibri" w:hAnsi="Calibri" w:cs="Calibri"/>
                <w:sz w:val="16"/>
                <w:szCs w:val="16"/>
              </w:rPr>
            </w:pPr>
            <w:r w:rsidRPr="00CE7005">
              <w:rPr>
                <w:rFonts w:ascii="Calibri" w:hAnsi="Calibri" w:cs="Calibri"/>
                <w:sz w:val="16"/>
                <w:szCs w:val="16"/>
              </w:rPr>
              <w:t>Jain (Deemed-to-be University), Bangalore</w:t>
            </w:r>
          </w:p>
        </w:tc>
      </w:tr>
    </w:tbl>
    <w:p w14:paraId="03AB4244" w14:textId="77777777" w:rsidR="00CE7005" w:rsidRPr="00CE7005" w:rsidRDefault="00CE7005" w:rsidP="000F0510">
      <w:pPr>
        <w:jc w:val="both"/>
        <w:rPr>
          <w:rFonts w:ascii="Times New Roman" w:hAnsi="Times New Roman" w:cs="Times New Roman"/>
          <w:b/>
          <w:bCs/>
          <w:sz w:val="16"/>
          <w:szCs w:val="16"/>
        </w:rPr>
      </w:pPr>
    </w:p>
    <w:p w14:paraId="4A4CF108" w14:textId="5073C076" w:rsidR="000F0510" w:rsidRDefault="000F0510" w:rsidP="00CE7005">
      <w:pPr>
        <w:spacing w:after="0" w:line="240" w:lineRule="auto"/>
        <w:ind w:left="720" w:right="389"/>
        <w:jc w:val="center"/>
        <w:rPr>
          <w:rFonts w:ascii="Arial" w:hAnsi="Arial" w:cs="Arial"/>
          <w:b/>
          <w:bCs/>
          <w:sz w:val="18"/>
          <w:szCs w:val="18"/>
        </w:rPr>
      </w:pPr>
      <w:r w:rsidRPr="00CE7005">
        <w:rPr>
          <w:rFonts w:ascii="Arial" w:hAnsi="Arial" w:cs="Arial"/>
          <w:b/>
          <w:bCs/>
          <w:sz w:val="18"/>
          <w:szCs w:val="18"/>
        </w:rPr>
        <w:t>Abstract</w:t>
      </w:r>
    </w:p>
    <w:p w14:paraId="5C0B85C3" w14:textId="77777777" w:rsidR="00CE7005" w:rsidRPr="00CE7005" w:rsidRDefault="00CE7005" w:rsidP="00CE7005">
      <w:pPr>
        <w:spacing w:after="0" w:line="240" w:lineRule="auto"/>
        <w:ind w:left="720" w:right="389"/>
        <w:jc w:val="both"/>
        <w:rPr>
          <w:rFonts w:ascii="Arial" w:hAnsi="Arial" w:cs="Arial"/>
          <w:b/>
          <w:bCs/>
          <w:sz w:val="18"/>
          <w:szCs w:val="18"/>
        </w:rPr>
      </w:pPr>
    </w:p>
    <w:p w14:paraId="787AA1E8" w14:textId="77777777" w:rsidR="007E19AE" w:rsidRDefault="007E19AE" w:rsidP="00CE7005">
      <w:pPr>
        <w:spacing w:after="0" w:line="240" w:lineRule="auto"/>
        <w:ind w:left="720" w:right="389"/>
        <w:jc w:val="both"/>
        <w:rPr>
          <w:rFonts w:ascii="Arial" w:hAnsi="Arial" w:cs="Arial"/>
          <w:sz w:val="18"/>
          <w:szCs w:val="18"/>
        </w:rPr>
      </w:pPr>
      <w:r w:rsidRPr="00CE7005">
        <w:rPr>
          <w:rFonts w:ascii="Arial" w:hAnsi="Arial" w:cs="Arial"/>
          <w:sz w:val="18"/>
          <w:szCs w:val="18"/>
        </w:rPr>
        <w:t>This case examines IFMR Capital's novel strategy for enhancing financial inclusion via sustainable lending frameworks aimed at underprivileged low-income households in India. The company serves the housing finance, microfinance, and small business markets by using digital credit assessments, risk-based pricing, and a low-cost operational architecture. Internship observations show that there are problems with borrower onboarding, credit bureau integration, and servicing efficiency, as well as the need to balance social impact with financial sustainability. The case integrates academic perspectives from microfinance, digital credit scoring, and social impact measurement literature, contextualizing IFMR Capital’s model within dynamic regulatory and competitive environments. Some of the most important problems managers face are how to increase the number of loans they can make without hurting the quality of their portfolios, how to make pricing models work better, and how to use technology to make their businesses bigger. The case prepares students to weigh the pros and cons of different business models for financial inclusion, combine impact metrics with profitability, and create governance systems that align the interests of all stakeholders. It is noted that there are limits and assumptions.</w:t>
      </w:r>
    </w:p>
    <w:p w14:paraId="3D783C65" w14:textId="77777777" w:rsidR="00CE7005" w:rsidRPr="00CE7005" w:rsidRDefault="00CE7005" w:rsidP="00CE7005">
      <w:pPr>
        <w:spacing w:after="0" w:line="240" w:lineRule="auto"/>
        <w:ind w:left="720" w:right="389"/>
        <w:jc w:val="both"/>
        <w:rPr>
          <w:rFonts w:ascii="Arial" w:hAnsi="Arial" w:cs="Arial"/>
          <w:sz w:val="18"/>
          <w:szCs w:val="18"/>
        </w:rPr>
      </w:pPr>
    </w:p>
    <w:p w14:paraId="3823330B" w14:textId="72CA111A" w:rsidR="000F0510" w:rsidRDefault="000F0510" w:rsidP="00CE7005">
      <w:pPr>
        <w:spacing w:after="0" w:line="240" w:lineRule="auto"/>
        <w:ind w:left="720" w:right="389"/>
        <w:jc w:val="both"/>
        <w:rPr>
          <w:rFonts w:ascii="Arial" w:hAnsi="Arial" w:cs="Arial"/>
          <w:sz w:val="18"/>
          <w:szCs w:val="18"/>
        </w:rPr>
      </w:pPr>
      <w:r w:rsidRPr="00CE7005">
        <w:rPr>
          <w:rFonts w:ascii="Arial" w:hAnsi="Arial" w:cs="Arial"/>
          <w:b/>
          <w:bCs/>
          <w:sz w:val="18"/>
          <w:szCs w:val="18"/>
        </w:rPr>
        <w:t>Keywords:</w:t>
      </w:r>
      <w:r w:rsidRPr="00CE7005">
        <w:rPr>
          <w:rFonts w:ascii="Arial" w:hAnsi="Arial" w:cs="Arial"/>
          <w:sz w:val="18"/>
          <w:szCs w:val="18"/>
        </w:rPr>
        <w:t xml:space="preserve"> Financial inclusion, Digital credit, Risk-based pricing, Microfinance, Lending platform, </w:t>
      </w:r>
      <w:r w:rsidR="00DD30B2" w:rsidRPr="00CE7005">
        <w:rPr>
          <w:rFonts w:ascii="Arial" w:hAnsi="Arial" w:cs="Arial"/>
          <w:sz w:val="18"/>
          <w:szCs w:val="18"/>
        </w:rPr>
        <w:t>social</w:t>
      </w:r>
      <w:r w:rsidRPr="00CE7005">
        <w:rPr>
          <w:rFonts w:ascii="Arial" w:hAnsi="Arial" w:cs="Arial"/>
          <w:sz w:val="18"/>
          <w:szCs w:val="18"/>
        </w:rPr>
        <w:t xml:space="preserve"> impact</w:t>
      </w:r>
    </w:p>
    <w:p w14:paraId="651C7575" w14:textId="77777777" w:rsidR="00CE7005" w:rsidRPr="00CE7005" w:rsidRDefault="00CE7005" w:rsidP="00CE7005">
      <w:pPr>
        <w:spacing w:after="0" w:line="240" w:lineRule="auto"/>
        <w:ind w:left="720" w:right="389"/>
        <w:jc w:val="both"/>
        <w:rPr>
          <w:rFonts w:ascii="Arial" w:hAnsi="Arial" w:cs="Arial"/>
          <w:sz w:val="18"/>
          <w:szCs w:val="18"/>
        </w:rPr>
      </w:pPr>
    </w:p>
    <w:p w14:paraId="7A77432E" w14:textId="77777777" w:rsidR="00CE7005" w:rsidRDefault="00CE7005" w:rsidP="00CE7005">
      <w:pPr>
        <w:spacing w:after="120" w:line="276" w:lineRule="auto"/>
        <w:jc w:val="both"/>
        <w:rPr>
          <w:rFonts w:ascii="Arial" w:hAnsi="Arial" w:cs="Arial"/>
          <w:b/>
          <w:bCs/>
          <w:sz w:val="22"/>
          <w:szCs w:val="22"/>
        </w:rPr>
        <w:sectPr w:rsidR="00CE7005" w:rsidSect="00945C46">
          <w:headerReference w:type="even" r:id="rId8"/>
          <w:headerReference w:type="default" r:id="rId9"/>
          <w:pgSz w:w="11906" w:h="16838" w:code="9"/>
          <w:pgMar w:top="1440" w:right="1440" w:bottom="1440" w:left="1440" w:header="1008" w:footer="720" w:gutter="0"/>
          <w:pgNumType w:start="40"/>
          <w:cols w:space="708"/>
          <w:docGrid w:linePitch="360"/>
        </w:sectPr>
      </w:pPr>
    </w:p>
    <w:p w14:paraId="396A0F3A" w14:textId="77777777" w:rsidR="000F0510" w:rsidRPr="00CE7005" w:rsidRDefault="000F0510" w:rsidP="00CE7005">
      <w:pPr>
        <w:spacing w:after="120" w:line="276" w:lineRule="auto"/>
        <w:jc w:val="center"/>
        <w:rPr>
          <w:rFonts w:ascii="Arial" w:hAnsi="Arial" w:cs="Arial"/>
          <w:b/>
          <w:bCs/>
          <w:caps/>
          <w:sz w:val="22"/>
          <w:szCs w:val="22"/>
        </w:rPr>
      </w:pPr>
      <w:r w:rsidRPr="00CE7005">
        <w:rPr>
          <w:rFonts w:ascii="Arial" w:hAnsi="Arial" w:cs="Arial"/>
          <w:b/>
          <w:bCs/>
          <w:caps/>
          <w:sz w:val="22"/>
          <w:szCs w:val="22"/>
        </w:rPr>
        <w:t>Case Introduction</w:t>
      </w:r>
    </w:p>
    <w:p w14:paraId="74781E7B" w14:textId="77777777" w:rsidR="007E19AE" w:rsidRPr="00CE7005" w:rsidRDefault="007E19AE" w:rsidP="00CE7005">
      <w:pPr>
        <w:spacing w:after="120" w:line="276" w:lineRule="auto"/>
        <w:ind w:firstLine="720"/>
        <w:jc w:val="both"/>
        <w:rPr>
          <w:rFonts w:ascii="Arial" w:hAnsi="Arial" w:cs="Arial"/>
          <w:sz w:val="22"/>
          <w:szCs w:val="22"/>
        </w:rPr>
      </w:pPr>
      <w:r w:rsidRPr="00CE7005">
        <w:rPr>
          <w:rFonts w:ascii="Arial" w:hAnsi="Arial" w:cs="Arial"/>
          <w:sz w:val="22"/>
          <w:szCs w:val="22"/>
        </w:rPr>
        <w:t xml:space="preserve">Digital payment systems, Aadhaar-enabled identification, and larger credit bureau networks have all sped up India's progress toward inclusive finance. IFMR Capital was started to fill the financing gaps in low-income and microenterprise markets. It has created a hybrid model that combines traditional microfinance practices with cutting-edge digital scoring, automated underwriting, and risk management based on data analytics. </w:t>
      </w:r>
    </w:p>
    <w:p w14:paraId="3D2D8271" w14:textId="77777777" w:rsidR="007E19AE" w:rsidRPr="00CE7005" w:rsidRDefault="007E19AE" w:rsidP="00CE7005">
      <w:pPr>
        <w:spacing w:after="120" w:line="276" w:lineRule="auto"/>
        <w:ind w:firstLine="720"/>
        <w:jc w:val="both"/>
        <w:rPr>
          <w:rFonts w:ascii="Arial" w:hAnsi="Arial" w:cs="Arial"/>
          <w:sz w:val="22"/>
          <w:szCs w:val="22"/>
        </w:rPr>
      </w:pPr>
      <w:r w:rsidRPr="00CE7005">
        <w:rPr>
          <w:rFonts w:ascii="Arial" w:hAnsi="Arial" w:cs="Arial"/>
          <w:sz w:val="22"/>
          <w:szCs w:val="22"/>
        </w:rPr>
        <w:t xml:space="preserve">The internship showed that there were delays in onboarding borrowers, problems with the quality of bureau data, and bottlenecks in the disbursal and collections processes. Fintech companies that offer loans almost instantly and banks that are willing to take on more risk are putting more pressure on the market. IFMR Capital needs to keep its credit discipline while growing quickly. It does this by taking </w:t>
      </w:r>
      <w:r w:rsidRPr="00CE7005">
        <w:rPr>
          <w:rFonts w:ascii="Arial" w:hAnsi="Arial" w:cs="Arial"/>
          <w:sz w:val="22"/>
          <w:szCs w:val="22"/>
        </w:rPr>
        <w:t xml:space="preserve">in detailed data and using dynamic pricing frameworks to manage portfolio risk. </w:t>
      </w:r>
    </w:p>
    <w:p w14:paraId="0B2BCBF2" w14:textId="211BA8F5" w:rsidR="007E19AE" w:rsidRPr="00CE7005" w:rsidRDefault="007E19AE" w:rsidP="00CE7005">
      <w:pPr>
        <w:spacing w:after="120" w:line="276" w:lineRule="auto"/>
        <w:ind w:firstLine="720"/>
        <w:jc w:val="both"/>
        <w:rPr>
          <w:rFonts w:ascii="Arial" w:hAnsi="Arial" w:cs="Arial"/>
          <w:sz w:val="22"/>
          <w:szCs w:val="22"/>
        </w:rPr>
      </w:pPr>
      <w:r w:rsidRPr="00CE7005">
        <w:rPr>
          <w:rFonts w:ascii="Arial" w:hAnsi="Arial" w:cs="Arial"/>
          <w:sz w:val="22"/>
          <w:szCs w:val="22"/>
        </w:rPr>
        <w:t>The management issue is how to make a scalable and data-driven lending technology platform that balances cost, social mission, and returns for investors. Changes in regulations about interest rate caps and data privacy are still making things difficult. This case shows how to balance goals of financial inclusion with those of risk management and operational excellence in the real world.</w:t>
      </w:r>
    </w:p>
    <w:p w14:paraId="09BAB6A6" w14:textId="77777777" w:rsidR="000F0510" w:rsidRPr="00945C46" w:rsidRDefault="000F0510" w:rsidP="00CE7005">
      <w:pPr>
        <w:spacing w:after="120" w:line="276" w:lineRule="auto"/>
        <w:jc w:val="center"/>
        <w:rPr>
          <w:rFonts w:ascii="Arial" w:hAnsi="Arial" w:cs="Arial"/>
          <w:b/>
          <w:bCs/>
          <w:caps/>
          <w:sz w:val="22"/>
          <w:szCs w:val="22"/>
        </w:rPr>
      </w:pPr>
      <w:r w:rsidRPr="00945C46">
        <w:rPr>
          <w:rFonts w:ascii="Arial" w:hAnsi="Arial" w:cs="Arial"/>
          <w:b/>
          <w:bCs/>
          <w:caps/>
          <w:sz w:val="22"/>
          <w:szCs w:val="22"/>
        </w:rPr>
        <w:t>About the Industry</w:t>
      </w:r>
    </w:p>
    <w:p w14:paraId="7ACD3F8A" w14:textId="77777777" w:rsidR="00CE7005" w:rsidRDefault="007E19AE" w:rsidP="00CE7005">
      <w:pPr>
        <w:spacing w:after="120" w:line="276" w:lineRule="auto"/>
        <w:jc w:val="both"/>
        <w:rPr>
          <w:rFonts w:ascii="Arial" w:hAnsi="Arial" w:cs="Arial"/>
          <w:sz w:val="22"/>
          <w:szCs w:val="22"/>
        </w:rPr>
      </w:pPr>
      <w:r w:rsidRPr="00CE7005">
        <w:rPr>
          <w:rFonts w:ascii="Arial" w:hAnsi="Arial" w:cs="Arial"/>
          <w:sz w:val="22"/>
          <w:szCs w:val="22"/>
        </w:rPr>
        <w:t xml:space="preserve">India's microfinance and inclusive lending industry is changing a lot because of new rules (Reserve Bank of India, 2024), more credit bureaus, and the use of automated decision-making tools. Digitization makes it easier to reach more customers, onboard new ones, and keep an eye on portfolios, but it needs strong data governance and fair credit assessment practices. </w:t>
      </w:r>
    </w:p>
    <w:p w14:paraId="24A85257" w14:textId="3824E761" w:rsidR="007E19AE" w:rsidRPr="00CE7005" w:rsidRDefault="007E19AE" w:rsidP="00CE7005">
      <w:pPr>
        <w:spacing w:after="120" w:line="276" w:lineRule="auto"/>
        <w:ind w:firstLine="720"/>
        <w:jc w:val="both"/>
        <w:rPr>
          <w:rFonts w:ascii="Arial" w:hAnsi="Arial" w:cs="Arial"/>
          <w:sz w:val="22"/>
          <w:szCs w:val="22"/>
        </w:rPr>
      </w:pPr>
      <w:r w:rsidRPr="00CE7005">
        <w:rPr>
          <w:rFonts w:ascii="Arial" w:hAnsi="Arial" w:cs="Arial"/>
          <w:sz w:val="22"/>
          <w:szCs w:val="22"/>
        </w:rPr>
        <w:lastRenderedPageBreak/>
        <w:t xml:space="preserve">Academic literature underscores the conflict between the extent of outreach and the quality of credit, stressing the imperative for dynamic risk-based pricing that mirrors portfolio performance and societal impact (Cull, </w:t>
      </w:r>
      <w:proofErr w:type="spellStart"/>
      <w:r w:rsidRPr="00CE7005">
        <w:rPr>
          <w:rFonts w:ascii="Arial" w:hAnsi="Arial" w:cs="Arial"/>
          <w:sz w:val="22"/>
          <w:szCs w:val="22"/>
        </w:rPr>
        <w:t>Demirgüç</w:t>
      </w:r>
      <w:proofErr w:type="spellEnd"/>
      <w:r w:rsidRPr="00CE7005">
        <w:rPr>
          <w:rFonts w:ascii="Arial" w:hAnsi="Arial" w:cs="Arial"/>
          <w:sz w:val="22"/>
          <w:szCs w:val="22"/>
        </w:rPr>
        <w:t xml:space="preserve">-Kunt &amp; Morduch, 2014; Karlan et al., 2017). Furthermore, social impact measurement must be incorporated with financial KPIs to evaluate sustainability and adherence to the mission. </w:t>
      </w:r>
    </w:p>
    <w:p w14:paraId="26189B33" w14:textId="21DC8A09" w:rsidR="007E19AE" w:rsidRPr="00CE7005" w:rsidRDefault="007E19AE" w:rsidP="00CE7005">
      <w:pPr>
        <w:spacing w:after="120" w:line="276" w:lineRule="auto"/>
        <w:ind w:firstLine="720"/>
        <w:jc w:val="both"/>
        <w:rPr>
          <w:rFonts w:ascii="Arial" w:hAnsi="Arial" w:cs="Arial"/>
          <w:sz w:val="22"/>
          <w:szCs w:val="22"/>
        </w:rPr>
      </w:pPr>
      <w:r w:rsidRPr="00CE7005">
        <w:rPr>
          <w:rFonts w:ascii="Arial" w:hAnsi="Arial" w:cs="Arial"/>
          <w:sz w:val="22"/>
          <w:szCs w:val="22"/>
        </w:rPr>
        <w:t xml:space="preserve">Market players have problems like borrowers who can't read, ecosystems that are too spread out, and fintech disruptions that make it easier for new players to enter the market. </w:t>
      </w:r>
      <w:proofErr w:type="gramStart"/>
      <w:r w:rsidRPr="00CE7005">
        <w:rPr>
          <w:rFonts w:ascii="Arial" w:hAnsi="Arial" w:cs="Arial"/>
          <w:sz w:val="22"/>
          <w:szCs w:val="22"/>
        </w:rPr>
        <w:t>In order to</w:t>
      </w:r>
      <w:proofErr w:type="gramEnd"/>
      <w:r w:rsidRPr="00CE7005">
        <w:rPr>
          <w:rFonts w:ascii="Arial" w:hAnsi="Arial" w:cs="Arial"/>
          <w:sz w:val="22"/>
          <w:szCs w:val="22"/>
        </w:rPr>
        <w:t xml:space="preserve"> stand out in crowded markets, sustainability and impact-driven lending platforms need to come up with new ways to make their underwriting technology and compliance scalable.</w:t>
      </w:r>
    </w:p>
    <w:p w14:paraId="3D242B73" w14:textId="77777777" w:rsidR="000F0510" w:rsidRPr="00CE7005" w:rsidRDefault="000F0510" w:rsidP="00CE7005">
      <w:pPr>
        <w:spacing w:after="120" w:line="276" w:lineRule="auto"/>
        <w:jc w:val="both"/>
        <w:rPr>
          <w:rFonts w:ascii="Arial" w:hAnsi="Arial" w:cs="Arial"/>
          <w:b/>
          <w:bCs/>
          <w:sz w:val="22"/>
          <w:szCs w:val="22"/>
        </w:rPr>
      </w:pPr>
      <w:r w:rsidRPr="00CE7005">
        <w:rPr>
          <w:rFonts w:ascii="Arial" w:hAnsi="Arial" w:cs="Arial"/>
          <w:b/>
          <w:bCs/>
          <w:sz w:val="22"/>
          <w:szCs w:val="22"/>
        </w:rPr>
        <w:t>Problems Faced by the Industry</w:t>
      </w:r>
    </w:p>
    <w:p w14:paraId="2FA3A5A2" w14:textId="77777777" w:rsidR="000F0510" w:rsidRPr="00CE7005" w:rsidRDefault="000F0510" w:rsidP="00CE7005">
      <w:pPr>
        <w:spacing w:after="120" w:line="276" w:lineRule="auto"/>
        <w:jc w:val="both"/>
        <w:rPr>
          <w:rFonts w:ascii="Arial" w:hAnsi="Arial" w:cs="Arial"/>
          <w:sz w:val="22"/>
          <w:szCs w:val="22"/>
        </w:rPr>
      </w:pPr>
      <w:r w:rsidRPr="00CE7005">
        <w:rPr>
          <w:rFonts w:ascii="Arial" w:hAnsi="Arial" w:cs="Arial"/>
          <w:sz w:val="22"/>
          <w:szCs w:val="22"/>
        </w:rPr>
        <w:t>Primary issues in the sector include:</w:t>
      </w:r>
    </w:p>
    <w:p w14:paraId="3415FCF0" w14:textId="77777777" w:rsidR="000F0510" w:rsidRPr="00CE7005" w:rsidRDefault="000F0510" w:rsidP="00CE7005">
      <w:pPr>
        <w:numPr>
          <w:ilvl w:val="0"/>
          <w:numId w:val="1"/>
        </w:numPr>
        <w:tabs>
          <w:tab w:val="clear" w:pos="720"/>
        </w:tabs>
        <w:spacing w:after="120" w:line="276" w:lineRule="auto"/>
        <w:ind w:left="450"/>
        <w:jc w:val="both"/>
        <w:rPr>
          <w:rFonts w:ascii="Arial" w:hAnsi="Arial" w:cs="Arial"/>
          <w:sz w:val="22"/>
          <w:szCs w:val="22"/>
        </w:rPr>
      </w:pPr>
      <w:r w:rsidRPr="00CE7005">
        <w:rPr>
          <w:rFonts w:ascii="Arial" w:hAnsi="Arial" w:cs="Arial"/>
          <w:sz w:val="22"/>
          <w:szCs w:val="22"/>
        </w:rPr>
        <w:t>Dependence on incomplete borrower information and frequent credit bureau errors compromising underwriting accuracy.</w:t>
      </w:r>
    </w:p>
    <w:p w14:paraId="4A9548CC" w14:textId="77777777" w:rsidR="000F0510" w:rsidRPr="00CE7005" w:rsidRDefault="000F0510" w:rsidP="00CE7005">
      <w:pPr>
        <w:numPr>
          <w:ilvl w:val="0"/>
          <w:numId w:val="1"/>
        </w:numPr>
        <w:tabs>
          <w:tab w:val="clear" w:pos="720"/>
        </w:tabs>
        <w:spacing w:after="120" w:line="276" w:lineRule="auto"/>
        <w:ind w:left="450"/>
        <w:jc w:val="both"/>
        <w:rPr>
          <w:rFonts w:ascii="Arial" w:hAnsi="Arial" w:cs="Arial"/>
          <w:sz w:val="22"/>
          <w:szCs w:val="22"/>
        </w:rPr>
      </w:pPr>
      <w:r w:rsidRPr="00CE7005">
        <w:rPr>
          <w:rFonts w:ascii="Arial" w:hAnsi="Arial" w:cs="Arial"/>
          <w:sz w:val="22"/>
          <w:szCs w:val="22"/>
        </w:rPr>
        <w:t>Regulatory caps on interest rates limiting risk-price alignment and discouraging profitable risk taking.</w:t>
      </w:r>
    </w:p>
    <w:p w14:paraId="5C168A22" w14:textId="77777777" w:rsidR="000F0510" w:rsidRPr="00CE7005" w:rsidRDefault="000F0510" w:rsidP="00CE7005">
      <w:pPr>
        <w:numPr>
          <w:ilvl w:val="0"/>
          <w:numId w:val="1"/>
        </w:numPr>
        <w:tabs>
          <w:tab w:val="clear" w:pos="720"/>
        </w:tabs>
        <w:spacing w:after="120" w:line="276" w:lineRule="auto"/>
        <w:ind w:left="450"/>
        <w:jc w:val="both"/>
        <w:rPr>
          <w:rFonts w:ascii="Arial" w:hAnsi="Arial" w:cs="Arial"/>
          <w:sz w:val="22"/>
          <w:szCs w:val="22"/>
        </w:rPr>
      </w:pPr>
      <w:r w:rsidRPr="00CE7005">
        <w:rPr>
          <w:rFonts w:ascii="Arial" w:hAnsi="Arial" w:cs="Arial"/>
          <w:sz w:val="22"/>
          <w:szCs w:val="22"/>
        </w:rPr>
        <w:t>Operational inefficiencies in servicing remote borrower segments affecting portfolio quality and cost.</w:t>
      </w:r>
    </w:p>
    <w:p w14:paraId="67BE13E4" w14:textId="77777777" w:rsidR="000F0510" w:rsidRPr="00CE7005" w:rsidRDefault="000F0510" w:rsidP="00CE7005">
      <w:pPr>
        <w:numPr>
          <w:ilvl w:val="0"/>
          <w:numId w:val="1"/>
        </w:numPr>
        <w:tabs>
          <w:tab w:val="clear" w:pos="720"/>
        </w:tabs>
        <w:spacing w:after="120" w:line="276" w:lineRule="auto"/>
        <w:ind w:left="450"/>
        <w:jc w:val="both"/>
        <w:rPr>
          <w:rFonts w:ascii="Arial" w:hAnsi="Arial" w:cs="Arial"/>
          <w:sz w:val="22"/>
          <w:szCs w:val="22"/>
        </w:rPr>
      </w:pPr>
      <w:r w:rsidRPr="00CE7005">
        <w:rPr>
          <w:rFonts w:ascii="Arial" w:hAnsi="Arial" w:cs="Arial"/>
          <w:sz w:val="22"/>
          <w:szCs w:val="22"/>
        </w:rPr>
        <w:t>Pressure from fintech disruptors driving smaller ticket, faster loans, fragmenting the competitive landscape.</w:t>
      </w:r>
    </w:p>
    <w:p w14:paraId="020DEDFE" w14:textId="77777777" w:rsidR="000F0510" w:rsidRPr="00CE7005" w:rsidRDefault="000F0510" w:rsidP="00CE7005">
      <w:pPr>
        <w:numPr>
          <w:ilvl w:val="0"/>
          <w:numId w:val="1"/>
        </w:numPr>
        <w:tabs>
          <w:tab w:val="clear" w:pos="720"/>
        </w:tabs>
        <w:spacing w:after="120" w:line="276" w:lineRule="auto"/>
        <w:ind w:left="450"/>
        <w:jc w:val="both"/>
        <w:rPr>
          <w:rFonts w:ascii="Arial" w:hAnsi="Arial" w:cs="Arial"/>
          <w:sz w:val="22"/>
          <w:szCs w:val="22"/>
        </w:rPr>
      </w:pPr>
      <w:r w:rsidRPr="00CE7005">
        <w:rPr>
          <w:rFonts w:ascii="Arial" w:hAnsi="Arial" w:cs="Arial"/>
          <w:sz w:val="22"/>
          <w:szCs w:val="22"/>
        </w:rPr>
        <w:t>Difficulty balancing mission-driven impact and investor return expectations, complicating fund-raising and governance.</w:t>
      </w:r>
    </w:p>
    <w:p w14:paraId="3FDBA7C0" w14:textId="58A1FCAF" w:rsidR="000F0510" w:rsidRPr="00CE7005" w:rsidRDefault="000F0510" w:rsidP="00CE7005">
      <w:pPr>
        <w:spacing w:after="120" w:line="276" w:lineRule="auto"/>
        <w:ind w:firstLine="720"/>
        <w:jc w:val="both"/>
        <w:rPr>
          <w:rFonts w:ascii="Arial" w:hAnsi="Arial" w:cs="Arial"/>
          <w:sz w:val="22"/>
          <w:szCs w:val="22"/>
        </w:rPr>
      </w:pPr>
      <w:r w:rsidRPr="00CE7005">
        <w:rPr>
          <w:rFonts w:ascii="Arial" w:hAnsi="Arial" w:cs="Arial"/>
          <w:sz w:val="22"/>
          <w:szCs w:val="22"/>
        </w:rPr>
        <w:t xml:space="preserve">Research underlines the importance of platform-level innovation integrating digital ID, mobile data, and </w:t>
      </w:r>
      <w:proofErr w:type="spellStart"/>
      <w:r w:rsidRPr="00CE7005">
        <w:rPr>
          <w:rFonts w:ascii="Arial" w:hAnsi="Arial" w:cs="Arial"/>
          <w:sz w:val="22"/>
          <w:szCs w:val="22"/>
        </w:rPr>
        <w:t>behavioral</w:t>
      </w:r>
      <w:proofErr w:type="spellEnd"/>
      <w:r w:rsidRPr="00CE7005">
        <w:rPr>
          <w:rFonts w:ascii="Arial" w:hAnsi="Arial" w:cs="Arial"/>
          <w:sz w:val="22"/>
          <w:szCs w:val="22"/>
        </w:rPr>
        <w:t xml:space="preserve"> assessment to improve credit </w:t>
      </w:r>
      <w:r w:rsidRPr="00CE7005">
        <w:rPr>
          <w:rFonts w:ascii="Arial" w:hAnsi="Arial" w:cs="Arial"/>
          <w:sz w:val="22"/>
          <w:szCs w:val="22"/>
        </w:rPr>
        <w:t>scoring transparency and borrower lifecycle management (Frost et al., 2021; Brune et al., 2016).</w:t>
      </w:r>
    </w:p>
    <w:p w14:paraId="68BF3B4D" w14:textId="77777777" w:rsidR="000F0510" w:rsidRPr="00945C46" w:rsidRDefault="000F0510" w:rsidP="00945C46">
      <w:pPr>
        <w:spacing w:after="120" w:line="276" w:lineRule="auto"/>
        <w:jc w:val="center"/>
        <w:rPr>
          <w:rFonts w:ascii="Arial" w:hAnsi="Arial" w:cs="Arial"/>
          <w:b/>
          <w:bCs/>
          <w:caps/>
          <w:sz w:val="22"/>
          <w:szCs w:val="22"/>
        </w:rPr>
      </w:pPr>
      <w:r w:rsidRPr="00945C46">
        <w:rPr>
          <w:rFonts w:ascii="Arial" w:hAnsi="Arial" w:cs="Arial"/>
          <w:b/>
          <w:bCs/>
          <w:caps/>
          <w:sz w:val="22"/>
          <w:szCs w:val="22"/>
        </w:rPr>
        <w:t>About the Company</w:t>
      </w:r>
    </w:p>
    <w:p w14:paraId="63C6FD04" w14:textId="77777777" w:rsidR="007E19AE" w:rsidRPr="00CE7005" w:rsidRDefault="007E19AE" w:rsidP="00CE7005">
      <w:pPr>
        <w:spacing w:after="120" w:line="276" w:lineRule="auto"/>
        <w:ind w:firstLine="720"/>
        <w:jc w:val="both"/>
        <w:rPr>
          <w:rFonts w:ascii="Arial" w:hAnsi="Arial" w:cs="Arial"/>
          <w:sz w:val="22"/>
          <w:szCs w:val="22"/>
        </w:rPr>
      </w:pPr>
      <w:r w:rsidRPr="00CE7005">
        <w:rPr>
          <w:rFonts w:ascii="Arial" w:hAnsi="Arial" w:cs="Arial"/>
          <w:sz w:val="22"/>
          <w:szCs w:val="22"/>
        </w:rPr>
        <w:t xml:space="preserve">To help people who can't get credit, IFMR Capital connects capital providers, digital credit assessment tools, and local service partners. It uses standard bank disclosures and data, as well as proprietary alternative data, machine learning models, and borrower engagement, to improve risk and affordability assessments. </w:t>
      </w:r>
    </w:p>
    <w:p w14:paraId="345B5111" w14:textId="77777777" w:rsidR="007E19AE" w:rsidRPr="00CE7005" w:rsidRDefault="007E19AE" w:rsidP="00CE7005">
      <w:pPr>
        <w:spacing w:after="120" w:line="276" w:lineRule="auto"/>
        <w:ind w:firstLine="720"/>
        <w:jc w:val="both"/>
        <w:rPr>
          <w:rFonts w:ascii="Arial" w:hAnsi="Arial" w:cs="Arial"/>
          <w:sz w:val="22"/>
          <w:szCs w:val="22"/>
        </w:rPr>
      </w:pPr>
      <w:r w:rsidRPr="00CE7005">
        <w:rPr>
          <w:rFonts w:ascii="Arial" w:hAnsi="Arial" w:cs="Arial"/>
          <w:sz w:val="22"/>
          <w:szCs w:val="22"/>
        </w:rPr>
        <w:t xml:space="preserve">The company's hybrid lending method lets it dynamically segment its portfolios, use risk-based pricing models to set prices for different micro-segments, and use digital workflows to make onboarding easier. It has a technology infrastructure that supports scaled underwriting throughput, integrated MIS reporting, and automated compliance provisioning. </w:t>
      </w:r>
    </w:p>
    <w:p w14:paraId="14BFBC6E" w14:textId="3A1AE1F5" w:rsidR="007E19AE" w:rsidRPr="00CE7005" w:rsidRDefault="007E19AE" w:rsidP="00CE7005">
      <w:pPr>
        <w:spacing w:after="120" w:line="276" w:lineRule="auto"/>
        <w:ind w:firstLine="720"/>
        <w:jc w:val="both"/>
        <w:rPr>
          <w:rFonts w:ascii="Arial" w:hAnsi="Arial" w:cs="Arial"/>
          <w:sz w:val="22"/>
          <w:szCs w:val="22"/>
        </w:rPr>
      </w:pPr>
      <w:r w:rsidRPr="00CE7005">
        <w:rPr>
          <w:rFonts w:ascii="Arial" w:hAnsi="Arial" w:cs="Arial"/>
          <w:sz w:val="22"/>
          <w:szCs w:val="22"/>
        </w:rPr>
        <w:t>Internship insights pointed out problems like delays in syncing credit bureaus, manual servicing procedures that raise personnel costs, and borrowers who are used to fixed rates being resistant to dynamic pricing at first.</w:t>
      </w:r>
    </w:p>
    <w:p w14:paraId="295F95E3" w14:textId="77777777" w:rsidR="000F0510" w:rsidRPr="00CE7005" w:rsidRDefault="000F0510" w:rsidP="00CE7005">
      <w:pPr>
        <w:spacing w:after="120" w:line="276" w:lineRule="auto"/>
        <w:jc w:val="both"/>
        <w:rPr>
          <w:rFonts w:ascii="Arial" w:hAnsi="Arial" w:cs="Arial"/>
          <w:b/>
          <w:bCs/>
          <w:sz w:val="22"/>
          <w:szCs w:val="22"/>
        </w:rPr>
      </w:pPr>
      <w:r w:rsidRPr="00CE7005">
        <w:rPr>
          <w:rFonts w:ascii="Arial" w:hAnsi="Arial" w:cs="Arial"/>
          <w:b/>
          <w:bCs/>
          <w:sz w:val="22"/>
          <w:szCs w:val="22"/>
        </w:rPr>
        <w:t>Problems Faced by the Company</w:t>
      </w:r>
    </w:p>
    <w:p w14:paraId="5305E17B" w14:textId="77777777" w:rsidR="000F0510" w:rsidRPr="00CE7005" w:rsidRDefault="000F0510" w:rsidP="00CE7005">
      <w:pPr>
        <w:spacing w:after="120" w:line="276" w:lineRule="auto"/>
        <w:ind w:firstLine="720"/>
        <w:jc w:val="both"/>
        <w:rPr>
          <w:rFonts w:ascii="Arial" w:hAnsi="Arial" w:cs="Arial"/>
          <w:sz w:val="22"/>
          <w:szCs w:val="22"/>
        </w:rPr>
      </w:pPr>
      <w:r w:rsidRPr="00CE7005">
        <w:rPr>
          <w:rFonts w:ascii="Arial" w:hAnsi="Arial" w:cs="Arial"/>
          <w:sz w:val="22"/>
          <w:szCs w:val="22"/>
        </w:rPr>
        <w:t>IFMR Capital confronts multiple tactical and strategic challenges:</w:t>
      </w:r>
    </w:p>
    <w:p w14:paraId="23A8187B" w14:textId="77777777" w:rsidR="000F0510" w:rsidRPr="00CE7005" w:rsidRDefault="000F0510" w:rsidP="00CE7005">
      <w:pPr>
        <w:numPr>
          <w:ilvl w:val="0"/>
          <w:numId w:val="2"/>
        </w:numPr>
        <w:spacing w:after="120" w:line="276" w:lineRule="auto"/>
        <w:jc w:val="both"/>
        <w:rPr>
          <w:rFonts w:ascii="Arial" w:hAnsi="Arial" w:cs="Arial"/>
          <w:sz w:val="22"/>
          <w:szCs w:val="22"/>
        </w:rPr>
      </w:pPr>
      <w:r w:rsidRPr="00CE7005">
        <w:rPr>
          <w:rFonts w:ascii="Arial" w:hAnsi="Arial" w:cs="Arial"/>
          <w:sz w:val="22"/>
          <w:szCs w:val="22"/>
        </w:rPr>
        <w:t>Data latency and inconsistency from credit bureaus affecting timely loan approvals.</w:t>
      </w:r>
    </w:p>
    <w:p w14:paraId="02BFF6A3" w14:textId="77777777" w:rsidR="000F0510" w:rsidRPr="00CE7005" w:rsidRDefault="000F0510" w:rsidP="00CE7005">
      <w:pPr>
        <w:numPr>
          <w:ilvl w:val="0"/>
          <w:numId w:val="2"/>
        </w:numPr>
        <w:spacing w:after="120" w:line="276" w:lineRule="auto"/>
        <w:jc w:val="both"/>
        <w:rPr>
          <w:rFonts w:ascii="Arial" w:hAnsi="Arial" w:cs="Arial"/>
          <w:sz w:val="22"/>
          <w:szCs w:val="22"/>
        </w:rPr>
      </w:pPr>
      <w:r w:rsidRPr="00CE7005">
        <w:rPr>
          <w:rFonts w:ascii="Arial" w:hAnsi="Arial" w:cs="Arial"/>
          <w:sz w:val="22"/>
          <w:szCs w:val="22"/>
        </w:rPr>
        <w:t>Manual oversight in collections and servicing limiting scalability and increasing NPA risk.</w:t>
      </w:r>
    </w:p>
    <w:p w14:paraId="1965776D" w14:textId="77777777" w:rsidR="000F0510" w:rsidRPr="00CE7005" w:rsidRDefault="000F0510" w:rsidP="00CE7005">
      <w:pPr>
        <w:numPr>
          <w:ilvl w:val="0"/>
          <w:numId w:val="2"/>
        </w:numPr>
        <w:spacing w:after="120" w:line="276" w:lineRule="auto"/>
        <w:jc w:val="both"/>
        <w:rPr>
          <w:rFonts w:ascii="Arial" w:hAnsi="Arial" w:cs="Arial"/>
          <w:sz w:val="22"/>
          <w:szCs w:val="22"/>
        </w:rPr>
      </w:pPr>
      <w:r w:rsidRPr="00CE7005">
        <w:rPr>
          <w:rFonts w:ascii="Arial" w:hAnsi="Arial" w:cs="Arial"/>
          <w:sz w:val="22"/>
          <w:szCs w:val="22"/>
        </w:rPr>
        <w:t>Borrower price sensitivity constraining uptake of risk-based pricing models.</w:t>
      </w:r>
    </w:p>
    <w:p w14:paraId="64A34A85" w14:textId="77777777" w:rsidR="000F0510" w:rsidRPr="00CE7005" w:rsidRDefault="000F0510" w:rsidP="00CE7005">
      <w:pPr>
        <w:numPr>
          <w:ilvl w:val="0"/>
          <w:numId w:val="2"/>
        </w:numPr>
        <w:spacing w:after="120" w:line="276" w:lineRule="auto"/>
        <w:jc w:val="both"/>
        <w:rPr>
          <w:rFonts w:ascii="Arial" w:hAnsi="Arial" w:cs="Arial"/>
          <w:sz w:val="22"/>
          <w:szCs w:val="22"/>
        </w:rPr>
      </w:pPr>
      <w:r w:rsidRPr="00CE7005">
        <w:rPr>
          <w:rFonts w:ascii="Arial" w:hAnsi="Arial" w:cs="Arial"/>
          <w:sz w:val="22"/>
          <w:szCs w:val="22"/>
        </w:rPr>
        <w:t>Complex regulatory compliance environments restraining operational flexibility.</w:t>
      </w:r>
    </w:p>
    <w:p w14:paraId="676EAA74" w14:textId="77777777" w:rsidR="000F0510" w:rsidRPr="00CE7005" w:rsidRDefault="000F0510" w:rsidP="00CE7005">
      <w:pPr>
        <w:numPr>
          <w:ilvl w:val="0"/>
          <w:numId w:val="2"/>
        </w:numPr>
        <w:spacing w:after="120" w:line="276" w:lineRule="auto"/>
        <w:jc w:val="both"/>
        <w:rPr>
          <w:rFonts w:ascii="Arial" w:hAnsi="Arial" w:cs="Arial"/>
          <w:sz w:val="22"/>
          <w:szCs w:val="22"/>
        </w:rPr>
      </w:pPr>
      <w:r w:rsidRPr="00CE7005">
        <w:rPr>
          <w:rFonts w:ascii="Arial" w:hAnsi="Arial" w:cs="Arial"/>
          <w:sz w:val="22"/>
          <w:szCs w:val="22"/>
        </w:rPr>
        <w:lastRenderedPageBreak/>
        <w:t>Need to generate credible social impact reports while meeting investor IRRs.</w:t>
      </w:r>
    </w:p>
    <w:p w14:paraId="344955D8" w14:textId="09982A69" w:rsidR="000F0510" w:rsidRPr="00CE7005" w:rsidRDefault="000F0510" w:rsidP="00BB5C5B">
      <w:pPr>
        <w:spacing w:after="120" w:line="276" w:lineRule="auto"/>
        <w:ind w:firstLine="720"/>
        <w:jc w:val="both"/>
        <w:rPr>
          <w:rFonts w:ascii="Arial" w:hAnsi="Arial" w:cs="Arial"/>
          <w:sz w:val="22"/>
          <w:szCs w:val="22"/>
        </w:rPr>
      </w:pPr>
      <w:r w:rsidRPr="00CE7005">
        <w:rPr>
          <w:rFonts w:ascii="Arial" w:hAnsi="Arial" w:cs="Arial"/>
          <w:sz w:val="22"/>
          <w:szCs w:val="22"/>
        </w:rPr>
        <w:t>The literature stresses fostering data interoperability, customer-centric pricing education, lean process automation, and robust impact measurement frameworks as mitigants (Morduch &amp; Armendáriz, 2010; Ghosh, 2019).</w:t>
      </w:r>
    </w:p>
    <w:p w14:paraId="7C6F0F30" w14:textId="77777777" w:rsidR="000F0510" w:rsidRPr="00CE7005" w:rsidRDefault="000F0510" w:rsidP="00CE7005">
      <w:pPr>
        <w:spacing w:after="120" w:line="276" w:lineRule="auto"/>
        <w:jc w:val="both"/>
        <w:rPr>
          <w:rFonts w:ascii="Arial" w:hAnsi="Arial" w:cs="Arial"/>
          <w:b/>
          <w:bCs/>
          <w:sz w:val="22"/>
          <w:szCs w:val="22"/>
        </w:rPr>
      </w:pPr>
      <w:r w:rsidRPr="00CE7005">
        <w:rPr>
          <w:rFonts w:ascii="Arial" w:hAnsi="Arial" w:cs="Arial"/>
          <w:b/>
          <w:bCs/>
          <w:sz w:val="22"/>
          <w:szCs w:val="22"/>
        </w:rPr>
        <w:t>Academic Learning</w:t>
      </w:r>
    </w:p>
    <w:p w14:paraId="4BA6AED4" w14:textId="77777777" w:rsidR="000F0510" w:rsidRPr="00CE7005" w:rsidRDefault="000F0510" w:rsidP="00BB5C5B">
      <w:pPr>
        <w:spacing w:after="120" w:line="276" w:lineRule="auto"/>
        <w:ind w:firstLine="360"/>
        <w:jc w:val="both"/>
        <w:rPr>
          <w:rFonts w:ascii="Arial" w:hAnsi="Arial" w:cs="Arial"/>
          <w:sz w:val="22"/>
          <w:szCs w:val="22"/>
        </w:rPr>
      </w:pPr>
      <w:r w:rsidRPr="00CE7005">
        <w:rPr>
          <w:rFonts w:ascii="Arial" w:hAnsi="Arial" w:cs="Arial"/>
          <w:sz w:val="22"/>
          <w:szCs w:val="22"/>
        </w:rPr>
        <w:t>This case enables learners to master:</w:t>
      </w:r>
    </w:p>
    <w:p w14:paraId="548DE7BC" w14:textId="77777777" w:rsidR="000F0510" w:rsidRPr="00CE7005" w:rsidRDefault="000F0510" w:rsidP="00CE7005">
      <w:pPr>
        <w:numPr>
          <w:ilvl w:val="0"/>
          <w:numId w:val="3"/>
        </w:numPr>
        <w:spacing w:after="120" w:line="276" w:lineRule="auto"/>
        <w:jc w:val="both"/>
        <w:rPr>
          <w:rFonts w:ascii="Arial" w:hAnsi="Arial" w:cs="Arial"/>
          <w:sz w:val="22"/>
          <w:szCs w:val="22"/>
        </w:rPr>
      </w:pPr>
      <w:r w:rsidRPr="00CE7005">
        <w:rPr>
          <w:rFonts w:ascii="Arial" w:hAnsi="Arial" w:cs="Arial"/>
          <w:sz w:val="22"/>
          <w:szCs w:val="22"/>
        </w:rPr>
        <w:t>The design of digital financial inclusion platforms balancing credit risk and social impact.</w:t>
      </w:r>
    </w:p>
    <w:p w14:paraId="630006A3" w14:textId="77777777" w:rsidR="000F0510" w:rsidRPr="00CE7005" w:rsidRDefault="000F0510" w:rsidP="00CE7005">
      <w:pPr>
        <w:numPr>
          <w:ilvl w:val="0"/>
          <w:numId w:val="3"/>
        </w:numPr>
        <w:spacing w:after="120" w:line="276" w:lineRule="auto"/>
        <w:jc w:val="both"/>
        <w:rPr>
          <w:rFonts w:ascii="Arial" w:hAnsi="Arial" w:cs="Arial"/>
          <w:sz w:val="22"/>
          <w:szCs w:val="22"/>
        </w:rPr>
      </w:pPr>
      <w:r w:rsidRPr="00CE7005">
        <w:rPr>
          <w:rFonts w:ascii="Arial" w:hAnsi="Arial" w:cs="Arial"/>
          <w:sz w:val="22"/>
          <w:szCs w:val="22"/>
        </w:rPr>
        <w:t>Implementation of alternative data integration and machine learning for micro-segmentation.</w:t>
      </w:r>
    </w:p>
    <w:p w14:paraId="130B9846" w14:textId="77777777" w:rsidR="000F0510" w:rsidRPr="00CE7005" w:rsidRDefault="000F0510" w:rsidP="00CE7005">
      <w:pPr>
        <w:numPr>
          <w:ilvl w:val="0"/>
          <w:numId w:val="3"/>
        </w:numPr>
        <w:spacing w:after="120" w:line="276" w:lineRule="auto"/>
        <w:jc w:val="both"/>
        <w:rPr>
          <w:rFonts w:ascii="Arial" w:hAnsi="Arial" w:cs="Arial"/>
          <w:sz w:val="22"/>
          <w:szCs w:val="22"/>
        </w:rPr>
      </w:pPr>
      <w:r w:rsidRPr="00CE7005">
        <w:rPr>
          <w:rFonts w:ascii="Arial" w:hAnsi="Arial" w:cs="Arial"/>
          <w:sz w:val="22"/>
          <w:szCs w:val="22"/>
        </w:rPr>
        <w:t>Operationalizing risk-based dynamic pricing under regulatory interest caps.</w:t>
      </w:r>
    </w:p>
    <w:p w14:paraId="3EDD6EFA" w14:textId="77777777" w:rsidR="000F0510" w:rsidRPr="00CE7005" w:rsidRDefault="000F0510" w:rsidP="00CE7005">
      <w:pPr>
        <w:numPr>
          <w:ilvl w:val="0"/>
          <w:numId w:val="3"/>
        </w:numPr>
        <w:spacing w:after="120" w:line="276" w:lineRule="auto"/>
        <w:jc w:val="both"/>
        <w:rPr>
          <w:rFonts w:ascii="Arial" w:hAnsi="Arial" w:cs="Arial"/>
          <w:sz w:val="22"/>
          <w:szCs w:val="22"/>
        </w:rPr>
      </w:pPr>
      <w:r w:rsidRPr="00CE7005">
        <w:rPr>
          <w:rFonts w:ascii="Arial" w:hAnsi="Arial" w:cs="Arial"/>
          <w:sz w:val="22"/>
          <w:szCs w:val="22"/>
        </w:rPr>
        <w:t>Creating governance frameworks reconciling impact measurement and investor reporting.</w:t>
      </w:r>
    </w:p>
    <w:p w14:paraId="4FF7337A" w14:textId="77777777" w:rsidR="000F0510" w:rsidRPr="00CE7005" w:rsidRDefault="000F0510" w:rsidP="00CE7005">
      <w:pPr>
        <w:numPr>
          <w:ilvl w:val="0"/>
          <w:numId w:val="3"/>
        </w:numPr>
        <w:spacing w:after="120" w:line="276" w:lineRule="auto"/>
        <w:jc w:val="both"/>
        <w:rPr>
          <w:rFonts w:ascii="Arial" w:hAnsi="Arial" w:cs="Arial"/>
          <w:sz w:val="22"/>
          <w:szCs w:val="22"/>
        </w:rPr>
      </w:pPr>
      <w:r w:rsidRPr="00CE7005">
        <w:rPr>
          <w:rFonts w:ascii="Arial" w:hAnsi="Arial" w:cs="Arial"/>
          <w:sz w:val="22"/>
          <w:szCs w:val="22"/>
        </w:rPr>
        <w:t>Strategic positioning amid fintech disruption and evolving compliance requirements.</w:t>
      </w:r>
    </w:p>
    <w:p w14:paraId="6CD2E88E" w14:textId="5FFE2E7F" w:rsidR="000F0510" w:rsidRPr="00CE7005" w:rsidRDefault="000F0510" w:rsidP="00BB5C5B">
      <w:pPr>
        <w:spacing w:after="120" w:line="276" w:lineRule="auto"/>
        <w:ind w:firstLine="720"/>
        <w:jc w:val="both"/>
        <w:rPr>
          <w:rFonts w:ascii="Arial" w:hAnsi="Arial" w:cs="Arial"/>
          <w:sz w:val="22"/>
          <w:szCs w:val="22"/>
        </w:rPr>
      </w:pPr>
      <w:r w:rsidRPr="00CE7005">
        <w:rPr>
          <w:rFonts w:ascii="Arial" w:hAnsi="Arial" w:cs="Arial"/>
          <w:sz w:val="22"/>
          <w:szCs w:val="22"/>
        </w:rPr>
        <w:t>Assignments include designing loan approval workflow diagrams, risk-pricing matrices, MIS reporting templates, and stakeholder impact frameworks.</w:t>
      </w:r>
    </w:p>
    <w:p w14:paraId="723070FD" w14:textId="77777777" w:rsidR="000F0510" w:rsidRPr="00BB5C5B" w:rsidRDefault="000F0510" w:rsidP="00BB5C5B">
      <w:pPr>
        <w:spacing w:after="120" w:line="276" w:lineRule="auto"/>
        <w:jc w:val="center"/>
        <w:rPr>
          <w:rFonts w:ascii="Arial" w:hAnsi="Arial" w:cs="Arial"/>
          <w:b/>
          <w:bCs/>
          <w:caps/>
          <w:sz w:val="22"/>
          <w:szCs w:val="22"/>
        </w:rPr>
      </w:pPr>
      <w:r w:rsidRPr="00BB5C5B">
        <w:rPr>
          <w:rFonts w:ascii="Arial" w:hAnsi="Arial" w:cs="Arial"/>
          <w:b/>
          <w:bCs/>
          <w:caps/>
          <w:sz w:val="22"/>
          <w:szCs w:val="22"/>
        </w:rPr>
        <w:t>Conclusion</w:t>
      </w:r>
    </w:p>
    <w:p w14:paraId="31FEE31E" w14:textId="77777777" w:rsidR="007E19AE" w:rsidRPr="00CE7005" w:rsidRDefault="007E19AE" w:rsidP="00BB5C5B">
      <w:pPr>
        <w:spacing w:after="120" w:line="276" w:lineRule="auto"/>
        <w:ind w:firstLine="720"/>
        <w:jc w:val="both"/>
        <w:rPr>
          <w:rFonts w:ascii="Arial" w:hAnsi="Arial" w:cs="Arial"/>
          <w:sz w:val="22"/>
          <w:szCs w:val="22"/>
        </w:rPr>
      </w:pPr>
      <w:r w:rsidRPr="00CE7005">
        <w:rPr>
          <w:rFonts w:ascii="Arial" w:hAnsi="Arial" w:cs="Arial"/>
          <w:sz w:val="22"/>
          <w:szCs w:val="22"/>
        </w:rPr>
        <w:t xml:space="preserve">IFMR Capital shows how hard and easy it is to digitally expand financial inclusion while </w:t>
      </w:r>
      <w:proofErr w:type="gramStart"/>
      <w:r w:rsidRPr="00CE7005">
        <w:rPr>
          <w:rFonts w:ascii="Arial" w:hAnsi="Arial" w:cs="Arial"/>
          <w:sz w:val="22"/>
          <w:szCs w:val="22"/>
        </w:rPr>
        <w:t>still keeping</w:t>
      </w:r>
      <w:proofErr w:type="gramEnd"/>
      <w:r w:rsidRPr="00CE7005">
        <w:rPr>
          <w:rFonts w:ascii="Arial" w:hAnsi="Arial" w:cs="Arial"/>
          <w:sz w:val="22"/>
          <w:szCs w:val="22"/>
        </w:rPr>
        <w:t xml:space="preserve"> credit discipline and a social mission. Success depends on putting together technology platforms, data ecosystems, and governance that meet the needs of regulators, investors, and borrowers as they grow. </w:t>
      </w:r>
    </w:p>
    <w:p w14:paraId="550D00B8" w14:textId="498FF034" w:rsidR="007E19AE" w:rsidRPr="00CE7005" w:rsidRDefault="007E19AE" w:rsidP="00BB5C5B">
      <w:pPr>
        <w:spacing w:after="120" w:line="276" w:lineRule="auto"/>
        <w:ind w:firstLine="720"/>
        <w:jc w:val="both"/>
        <w:rPr>
          <w:rFonts w:ascii="Arial" w:hAnsi="Arial" w:cs="Arial"/>
          <w:sz w:val="22"/>
          <w:szCs w:val="22"/>
        </w:rPr>
      </w:pPr>
      <w:r w:rsidRPr="00CE7005">
        <w:rPr>
          <w:rFonts w:ascii="Arial" w:hAnsi="Arial" w:cs="Arial"/>
          <w:sz w:val="22"/>
          <w:szCs w:val="22"/>
        </w:rPr>
        <w:t xml:space="preserve">The company's story shows how important it is to put money into alternative credit data, dynamic pricing, and </w:t>
      </w:r>
      <w:r w:rsidRPr="00CE7005">
        <w:rPr>
          <w:rFonts w:ascii="Arial" w:hAnsi="Arial" w:cs="Arial"/>
          <w:sz w:val="22"/>
          <w:szCs w:val="22"/>
        </w:rPr>
        <w:t>operational automation to improve the quality of its portfolio and reach more people in a sustainable way. Being open about the effects and financial results is still very important for gaining the trust of many stakeholders and staying in business for a long time.</w:t>
      </w:r>
    </w:p>
    <w:p w14:paraId="7C209DD8" w14:textId="77777777" w:rsidR="000F0510" w:rsidRPr="00BB5C5B" w:rsidRDefault="000F0510" w:rsidP="00BB5C5B">
      <w:pPr>
        <w:spacing w:after="120" w:line="276" w:lineRule="auto"/>
        <w:jc w:val="center"/>
        <w:rPr>
          <w:rFonts w:ascii="Arial" w:hAnsi="Arial" w:cs="Arial"/>
          <w:b/>
          <w:bCs/>
          <w:caps/>
          <w:sz w:val="22"/>
          <w:szCs w:val="22"/>
        </w:rPr>
      </w:pPr>
      <w:r w:rsidRPr="00BB5C5B">
        <w:rPr>
          <w:rFonts w:ascii="Arial" w:hAnsi="Arial" w:cs="Arial"/>
          <w:b/>
          <w:bCs/>
          <w:caps/>
          <w:sz w:val="22"/>
          <w:szCs w:val="22"/>
        </w:rPr>
        <w:t>Case Questions</w:t>
      </w:r>
    </w:p>
    <w:p w14:paraId="0A5450AC" w14:textId="77777777" w:rsidR="000F0510" w:rsidRPr="00CE7005" w:rsidRDefault="000F0510" w:rsidP="00CE7005">
      <w:pPr>
        <w:numPr>
          <w:ilvl w:val="0"/>
          <w:numId w:val="4"/>
        </w:numPr>
        <w:spacing w:after="120" w:line="276" w:lineRule="auto"/>
        <w:jc w:val="both"/>
        <w:rPr>
          <w:rFonts w:ascii="Arial" w:hAnsi="Arial" w:cs="Arial"/>
          <w:sz w:val="22"/>
          <w:szCs w:val="22"/>
        </w:rPr>
      </w:pPr>
      <w:r w:rsidRPr="00CE7005">
        <w:rPr>
          <w:rFonts w:ascii="Arial" w:hAnsi="Arial" w:cs="Arial"/>
          <w:sz w:val="22"/>
          <w:szCs w:val="22"/>
        </w:rPr>
        <w:t>How can IFMR Capital optimize its digital onboarding to reduce credit decision delays without sacrificing accuracy?</w:t>
      </w:r>
    </w:p>
    <w:p w14:paraId="5FA78ADC" w14:textId="77777777" w:rsidR="000F0510" w:rsidRPr="00CE7005" w:rsidRDefault="000F0510" w:rsidP="00CE7005">
      <w:pPr>
        <w:numPr>
          <w:ilvl w:val="0"/>
          <w:numId w:val="4"/>
        </w:numPr>
        <w:spacing w:after="120" w:line="276" w:lineRule="auto"/>
        <w:jc w:val="both"/>
        <w:rPr>
          <w:rFonts w:ascii="Arial" w:hAnsi="Arial" w:cs="Arial"/>
          <w:sz w:val="22"/>
          <w:szCs w:val="22"/>
        </w:rPr>
      </w:pPr>
      <w:r w:rsidRPr="00CE7005">
        <w:rPr>
          <w:rFonts w:ascii="Arial" w:hAnsi="Arial" w:cs="Arial"/>
          <w:sz w:val="22"/>
          <w:szCs w:val="22"/>
        </w:rPr>
        <w:t>What risk-based pricing strategies are feasible under regulatory interest rate caps, and how can borrower acceptance be enhanced?</w:t>
      </w:r>
    </w:p>
    <w:p w14:paraId="3986F27D" w14:textId="77777777" w:rsidR="000F0510" w:rsidRPr="00CE7005" w:rsidRDefault="000F0510" w:rsidP="00CE7005">
      <w:pPr>
        <w:numPr>
          <w:ilvl w:val="0"/>
          <w:numId w:val="4"/>
        </w:numPr>
        <w:spacing w:after="120" w:line="276" w:lineRule="auto"/>
        <w:jc w:val="both"/>
        <w:rPr>
          <w:rFonts w:ascii="Arial" w:hAnsi="Arial" w:cs="Arial"/>
          <w:sz w:val="22"/>
          <w:szCs w:val="22"/>
        </w:rPr>
      </w:pPr>
      <w:r w:rsidRPr="00CE7005">
        <w:rPr>
          <w:rFonts w:ascii="Arial" w:hAnsi="Arial" w:cs="Arial"/>
          <w:sz w:val="22"/>
          <w:szCs w:val="22"/>
        </w:rPr>
        <w:t>Design an MIS framework that reports integrated financial and social impact metrics to different stakeholder groups.</w:t>
      </w:r>
    </w:p>
    <w:p w14:paraId="091173B7" w14:textId="77777777" w:rsidR="000F0510" w:rsidRPr="00CE7005" w:rsidRDefault="000F0510" w:rsidP="00CE7005">
      <w:pPr>
        <w:numPr>
          <w:ilvl w:val="0"/>
          <w:numId w:val="4"/>
        </w:numPr>
        <w:spacing w:after="120" w:line="276" w:lineRule="auto"/>
        <w:jc w:val="both"/>
        <w:rPr>
          <w:rFonts w:ascii="Arial" w:hAnsi="Arial" w:cs="Arial"/>
          <w:sz w:val="22"/>
          <w:szCs w:val="22"/>
        </w:rPr>
      </w:pPr>
      <w:r w:rsidRPr="00CE7005">
        <w:rPr>
          <w:rFonts w:ascii="Arial" w:hAnsi="Arial" w:cs="Arial"/>
          <w:sz w:val="22"/>
          <w:szCs w:val="22"/>
        </w:rPr>
        <w:t>Propose governance mechanisms for managing data privacy, compliance, and operational risk in digital lending platforms.</w:t>
      </w:r>
    </w:p>
    <w:p w14:paraId="39E802F6" w14:textId="6F2DC492" w:rsidR="000F0510" w:rsidRPr="00CE7005" w:rsidRDefault="000F0510" w:rsidP="00CE7005">
      <w:pPr>
        <w:numPr>
          <w:ilvl w:val="0"/>
          <w:numId w:val="4"/>
        </w:numPr>
        <w:spacing w:after="120" w:line="276" w:lineRule="auto"/>
        <w:jc w:val="both"/>
        <w:rPr>
          <w:rFonts w:ascii="Arial" w:hAnsi="Arial" w:cs="Arial"/>
          <w:sz w:val="22"/>
          <w:szCs w:val="22"/>
        </w:rPr>
      </w:pPr>
      <w:r w:rsidRPr="00CE7005">
        <w:rPr>
          <w:rFonts w:ascii="Arial" w:hAnsi="Arial" w:cs="Arial"/>
          <w:sz w:val="22"/>
          <w:szCs w:val="22"/>
        </w:rPr>
        <w:t>How should IFMR Capital defend its positioning against fintech disruptors offering instant microloans?</w:t>
      </w:r>
    </w:p>
    <w:p w14:paraId="14C678B4" w14:textId="77777777" w:rsidR="000F0510" w:rsidRPr="00BB5C5B" w:rsidRDefault="000F0510" w:rsidP="00BB5C5B">
      <w:pPr>
        <w:spacing w:after="120" w:line="276" w:lineRule="auto"/>
        <w:jc w:val="center"/>
        <w:rPr>
          <w:rFonts w:ascii="Arial" w:hAnsi="Arial" w:cs="Arial"/>
          <w:b/>
          <w:bCs/>
          <w:caps/>
          <w:sz w:val="22"/>
          <w:szCs w:val="22"/>
        </w:rPr>
      </w:pPr>
      <w:r w:rsidRPr="00BB5C5B">
        <w:rPr>
          <w:rFonts w:ascii="Arial" w:hAnsi="Arial" w:cs="Arial"/>
          <w:b/>
          <w:bCs/>
          <w:caps/>
          <w:sz w:val="22"/>
          <w:szCs w:val="22"/>
        </w:rPr>
        <w:t>References</w:t>
      </w:r>
    </w:p>
    <w:p w14:paraId="1D1142FF" w14:textId="77777777" w:rsidR="000F0510" w:rsidRPr="00CE7005" w:rsidRDefault="000F0510" w:rsidP="00BB5C5B">
      <w:pPr>
        <w:spacing w:after="120" w:line="276" w:lineRule="auto"/>
        <w:ind w:left="720" w:hanging="720"/>
        <w:jc w:val="both"/>
        <w:rPr>
          <w:rFonts w:ascii="Arial" w:hAnsi="Arial" w:cs="Arial"/>
          <w:sz w:val="22"/>
          <w:szCs w:val="22"/>
        </w:rPr>
      </w:pPr>
      <w:r w:rsidRPr="00CE7005">
        <w:rPr>
          <w:rFonts w:ascii="Arial" w:hAnsi="Arial" w:cs="Arial"/>
          <w:sz w:val="22"/>
          <w:szCs w:val="22"/>
        </w:rPr>
        <w:t xml:space="preserve">Cull, R., </w:t>
      </w:r>
      <w:proofErr w:type="spellStart"/>
      <w:r w:rsidRPr="00CE7005">
        <w:rPr>
          <w:rFonts w:ascii="Arial" w:hAnsi="Arial" w:cs="Arial"/>
          <w:sz w:val="22"/>
          <w:szCs w:val="22"/>
        </w:rPr>
        <w:t>Demirgüç</w:t>
      </w:r>
      <w:proofErr w:type="spellEnd"/>
      <w:r w:rsidRPr="00CE7005">
        <w:rPr>
          <w:rFonts w:ascii="Arial" w:hAnsi="Arial" w:cs="Arial"/>
          <w:sz w:val="22"/>
          <w:szCs w:val="22"/>
        </w:rPr>
        <w:t>-Kunt, A., &amp; Morduch, J. (2014). Financial inclusion and development: Recent impact evidence. </w:t>
      </w:r>
      <w:r w:rsidRPr="00CE7005">
        <w:rPr>
          <w:rFonts w:ascii="Arial" w:hAnsi="Arial" w:cs="Arial"/>
          <w:i/>
          <w:iCs/>
          <w:sz w:val="22"/>
          <w:szCs w:val="22"/>
        </w:rPr>
        <w:t>Focus Note</w:t>
      </w:r>
      <w:r w:rsidRPr="00CE7005">
        <w:rPr>
          <w:rFonts w:ascii="Arial" w:hAnsi="Arial" w:cs="Arial"/>
          <w:sz w:val="22"/>
          <w:szCs w:val="22"/>
        </w:rPr>
        <w:t>, 92. Washington, DC: CGAP.</w:t>
      </w:r>
    </w:p>
    <w:p w14:paraId="3A43ED8E" w14:textId="77777777" w:rsidR="000F0510" w:rsidRPr="00CE7005" w:rsidRDefault="000F0510" w:rsidP="00BB5C5B">
      <w:pPr>
        <w:spacing w:after="120" w:line="276" w:lineRule="auto"/>
        <w:ind w:left="720" w:hanging="720"/>
        <w:jc w:val="both"/>
        <w:rPr>
          <w:rFonts w:ascii="Arial" w:hAnsi="Arial" w:cs="Arial"/>
          <w:sz w:val="22"/>
          <w:szCs w:val="22"/>
        </w:rPr>
      </w:pPr>
      <w:r w:rsidRPr="00CE7005">
        <w:rPr>
          <w:rFonts w:ascii="Arial" w:hAnsi="Arial" w:cs="Arial"/>
          <w:sz w:val="22"/>
          <w:szCs w:val="22"/>
        </w:rPr>
        <w:t xml:space="preserve">Frost, J., Gambacorta, L., Huang, Y., Shin, H. S., &amp; Zbinden, P. (2021). </w:t>
      </w:r>
      <w:proofErr w:type="spellStart"/>
      <w:r w:rsidRPr="00CE7005">
        <w:rPr>
          <w:rFonts w:ascii="Arial" w:hAnsi="Arial" w:cs="Arial"/>
          <w:sz w:val="22"/>
          <w:szCs w:val="22"/>
        </w:rPr>
        <w:t>BigTech</w:t>
      </w:r>
      <w:proofErr w:type="spellEnd"/>
      <w:r w:rsidRPr="00CE7005">
        <w:rPr>
          <w:rFonts w:ascii="Arial" w:hAnsi="Arial" w:cs="Arial"/>
          <w:sz w:val="22"/>
          <w:szCs w:val="22"/>
        </w:rPr>
        <w:t xml:space="preserve"> and the changing structure of financial intermediation. </w:t>
      </w:r>
      <w:r w:rsidRPr="00CE7005">
        <w:rPr>
          <w:rFonts w:ascii="Arial" w:hAnsi="Arial" w:cs="Arial"/>
          <w:i/>
          <w:iCs/>
          <w:sz w:val="22"/>
          <w:szCs w:val="22"/>
        </w:rPr>
        <w:t>Economic Policy</w:t>
      </w:r>
      <w:r w:rsidRPr="00CE7005">
        <w:rPr>
          <w:rFonts w:ascii="Arial" w:hAnsi="Arial" w:cs="Arial"/>
          <w:sz w:val="22"/>
          <w:szCs w:val="22"/>
        </w:rPr>
        <w:t>, 36(108), 841-886.</w:t>
      </w:r>
    </w:p>
    <w:p w14:paraId="5AFD2DE9" w14:textId="77777777" w:rsidR="000F0510" w:rsidRPr="00CE7005" w:rsidRDefault="000F0510" w:rsidP="00BB5C5B">
      <w:pPr>
        <w:spacing w:after="120" w:line="276" w:lineRule="auto"/>
        <w:ind w:left="720" w:hanging="720"/>
        <w:jc w:val="both"/>
        <w:rPr>
          <w:rFonts w:ascii="Arial" w:hAnsi="Arial" w:cs="Arial"/>
          <w:sz w:val="22"/>
          <w:szCs w:val="22"/>
        </w:rPr>
      </w:pPr>
      <w:r w:rsidRPr="00CE7005">
        <w:rPr>
          <w:rFonts w:ascii="Arial" w:hAnsi="Arial" w:cs="Arial"/>
          <w:sz w:val="22"/>
          <w:szCs w:val="22"/>
        </w:rPr>
        <w:t xml:space="preserve">Ghosh, S. (2019). Social Impact Measurement in Microfinance: A Balanced Scorecard </w:t>
      </w:r>
      <w:r w:rsidRPr="00CE7005">
        <w:rPr>
          <w:rFonts w:ascii="Arial" w:hAnsi="Arial" w:cs="Arial"/>
          <w:sz w:val="22"/>
          <w:szCs w:val="22"/>
        </w:rPr>
        <w:lastRenderedPageBreak/>
        <w:t>Approach. </w:t>
      </w:r>
      <w:r w:rsidRPr="00CE7005">
        <w:rPr>
          <w:rFonts w:ascii="Arial" w:hAnsi="Arial" w:cs="Arial"/>
          <w:i/>
          <w:iCs/>
          <w:sz w:val="22"/>
          <w:szCs w:val="22"/>
        </w:rPr>
        <w:t>Social Business</w:t>
      </w:r>
      <w:r w:rsidRPr="00CE7005">
        <w:rPr>
          <w:rFonts w:ascii="Arial" w:hAnsi="Arial" w:cs="Arial"/>
          <w:sz w:val="22"/>
          <w:szCs w:val="22"/>
        </w:rPr>
        <w:t>, 9(3), 201-220.</w:t>
      </w:r>
    </w:p>
    <w:p w14:paraId="3DD72EDE" w14:textId="77777777" w:rsidR="000F0510" w:rsidRPr="00CE7005" w:rsidRDefault="000F0510" w:rsidP="00BB5C5B">
      <w:pPr>
        <w:spacing w:after="120" w:line="276" w:lineRule="auto"/>
        <w:ind w:left="720" w:hanging="720"/>
        <w:jc w:val="both"/>
        <w:rPr>
          <w:rFonts w:ascii="Arial" w:hAnsi="Arial" w:cs="Arial"/>
          <w:sz w:val="22"/>
          <w:szCs w:val="22"/>
        </w:rPr>
      </w:pPr>
      <w:r w:rsidRPr="00CE7005">
        <w:rPr>
          <w:rFonts w:ascii="Arial" w:hAnsi="Arial" w:cs="Arial"/>
          <w:sz w:val="22"/>
          <w:szCs w:val="22"/>
        </w:rPr>
        <w:t>Karlan, D., et al. (2017). The impact of microcredit on the poor in Bangladesh: Revisiting the evidence. </w:t>
      </w:r>
      <w:r w:rsidRPr="00CE7005">
        <w:rPr>
          <w:rFonts w:ascii="Arial" w:hAnsi="Arial" w:cs="Arial"/>
          <w:i/>
          <w:iCs/>
          <w:sz w:val="22"/>
          <w:szCs w:val="22"/>
        </w:rPr>
        <w:t>American Economic Review</w:t>
      </w:r>
      <w:r w:rsidRPr="00CE7005">
        <w:rPr>
          <w:rFonts w:ascii="Arial" w:hAnsi="Arial" w:cs="Arial"/>
          <w:sz w:val="22"/>
          <w:szCs w:val="22"/>
        </w:rPr>
        <w:t>, 107(12), 3387-3427.</w:t>
      </w:r>
    </w:p>
    <w:p w14:paraId="032DD1B8" w14:textId="77777777" w:rsidR="000F0510" w:rsidRPr="00CE7005" w:rsidRDefault="000F0510" w:rsidP="00BB5C5B">
      <w:pPr>
        <w:spacing w:after="120" w:line="276" w:lineRule="auto"/>
        <w:ind w:left="720" w:hanging="720"/>
        <w:jc w:val="both"/>
        <w:rPr>
          <w:rFonts w:ascii="Arial" w:hAnsi="Arial" w:cs="Arial"/>
          <w:sz w:val="22"/>
          <w:szCs w:val="22"/>
        </w:rPr>
      </w:pPr>
      <w:r w:rsidRPr="00CE7005">
        <w:rPr>
          <w:rFonts w:ascii="Arial" w:hAnsi="Arial" w:cs="Arial"/>
          <w:sz w:val="22"/>
          <w:szCs w:val="22"/>
        </w:rPr>
        <w:t>Morduch, J., &amp; Armendáriz, B. (2010). </w:t>
      </w:r>
      <w:r w:rsidRPr="00CE7005">
        <w:rPr>
          <w:rFonts w:ascii="Arial" w:hAnsi="Arial" w:cs="Arial"/>
          <w:i/>
          <w:iCs/>
          <w:sz w:val="22"/>
          <w:szCs w:val="22"/>
        </w:rPr>
        <w:t>The economics of microfinance</w:t>
      </w:r>
      <w:r w:rsidRPr="00CE7005">
        <w:rPr>
          <w:rFonts w:ascii="Arial" w:hAnsi="Arial" w:cs="Arial"/>
          <w:sz w:val="22"/>
          <w:szCs w:val="22"/>
        </w:rPr>
        <w:t>. MIT Press.</w:t>
      </w:r>
    </w:p>
    <w:p w14:paraId="16ED3685" w14:textId="46FA3DA6" w:rsidR="00003B79" w:rsidRPr="00CE7005" w:rsidRDefault="000F0510" w:rsidP="00BB5C5B">
      <w:pPr>
        <w:spacing w:after="120" w:line="276" w:lineRule="auto"/>
        <w:ind w:left="720" w:hanging="720"/>
        <w:jc w:val="both"/>
        <w:rPr>
          <w:rFonts w:ascii="Arial" w:hAnsi="Arial" w:cs="Arial"/>
          <w:sz w:val="22"/>
          <w:szCs w:val="22"/>
        </w:rPr>
      </w:pPr>
      <w:r w:rsidRPr="00CE7005">
        <w:rPr>
          <w:rFonts w:ascii="Arial" w:hAnsi="Arial" w:cs="Arial"/>
          <w:sz w:val="22"/>
          <w:szCs w:val="22"/>
        </w:rPr>
        <w:t>Reserve Bank of India. (2024). Master Direction – Non-Banking Financial Company – Systemically Important Non-Deposit taking Company and Deposit taking Company (Reserve Bank) Directions, 2016.</w:t>
      </w:r>
    </w:p>
    <w:sectPr w:rsidR="00003B79" w:rsidRPr="00CE7005" w:rsidSect="002F5BA2">
      <w:headerReference w:type="default" r:id="rId10"/>
      <w:type w:val="continuous"/>
      <w:pgSz w:w="11906" w:h="16838" w:code="9"/>
      <w:pgMar w:top="1440" w:right="1440" w:bottom="1440" w:left="1440" w:header="1009" w:footer="72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28725" w14:textId="77777777" w:rsidR="005C62E9" w:rsidRDefault="005C62E9" w:rsidP="00CE7005">
      <w:pPr>
        <w:spacing w:after="0" w:line="240" w:lineRule="auto"/>
      </w:pPr>
      <w:r>
        <w:separator/>
      </w:r>
    </w:p>
  </w:endnote>
  <w:endnote w:type="continuationSeparator" w:id="0">
    <w:p w14:paraId="0AB12688" w14:textId="77777777" w:rsidR="005C62E9" w:rsidRDefault="005C62E9" w:rsidP="00CE7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D56A8" w14:textId="77777777" w:rsidR="005C62E9" w:rsidRDefault="005C62E9" w:rsidP="00CE7005">
      <w:pPr>
        <w:spacing w:after="0" w:line="240" w:lineRule="auto"/>
      </w:pPr>
      <w:r>
        <w:separator/>
      </w:r>
    </w:p>
  </w:footnote>
  <w:footnote w:type="continuationSeparator" w:id="0">
    <w:p w14:paraId="397D3523" w14:textId="77777777" w:rsidR="005C62E9" w:rsidRDefault="005C62E9" w:rsidP="00CE7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C348" w14:textId="11DBDEA7" w:rsidR="00945C46" w:rsidRDefault="00945C46" w:rsidP="00945C46">
    <w:pPr>
      <w:pBdr>
        <w:bottom w:val="single" w:sz="4" w:space="1" w:color="auto"/>
      </w:pBdr>
      <w:spacing w:after="0" w:line="160" w:lineRule="atLeast"/>
      <w:jc w:val="both"/>
    </w:pPr>
    <w:r w:rsidRPr="00B62BAE">
      <w:rPr>
        <w:rFonts w:ascii="Arial" w:hAnsi="Arial" w:cs="Arial"/>
        <w:sz w:val="16"/>
        <w:szCs w:val="16"/>
      </w:rPr>
      <w:t>20</w:t>
    </w:r>
    <w:r>
      <w:rPr>
        <w:rFonts w:ascii="Arial" w:hAnsi="Arial" w:cs="Arial"/>
        <w:sz w:val="16"/>
        <w:szCs w:val="16"/>
      </w:rPr>
      <w:t>25</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i/>
        <w:iCs/>
        <w:sz w:val="16"/>
        <w:szCs w:val="16"/>
      </w:rPr>
      <w:t xml:space="preserve">Chethan Bhandary, </w:t>
    </w:r>
    <w:proofErr w:type="spellStart"/>
    <w:r>
      <w:rPr>
        <w:rFonts w:ascii="Arial" w:hAnsi="Arial" w:cs="Arial"/>
        <w:i/>
        <w:iCs/>
        <w:sz w:val="16"/>
        <w:szCs w:val="16"/>
      </w:rPr>
      <w:t>Yogananthan</w:t>
    </w:r>
    <w:proofErr w:type="spellEnd"/>
    <w:r>
      <w:rPr>
        <w:rFonts w:ascii="Arial" w:hAnsi="Arial" w:cs="Arial"/>
        <w:i/>
        <w:iCs/>
        <w:sz w:val="16"/>
        <w:szCs w:val="16"/>
      </w:rPr>
      <w:t xml:space="preserve"> S</w:t>
    </w:r>
    <w:r w:rsidRPr="00B62BAE">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36</w:t>
    </w:r>
    <w:r w:rsidRPr="00B62BAE">
      <w:rPr>
        <w:rFonts w:ascii="Arial" w:hAnsi="Arial" w:cs="Arial"/>
        <w:noProof/>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997C" w14:textId="77777777" w:rsidR="00945C46" w:rsidRPr="00076A18" w:rsidRDefault="00945C46" w:rsidP="00945C46">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37</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Business and Management</w:t>
    </w:r>
    <w:r w:rsidRPr="00B62BAE">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December </w:t>
    </w:r>
  </w:p>
  <w:p w14:paraId="74146CD1" w14:textId="77777777" w:rsidR="00945C46" w:rsidRDefault="00945C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DDEB" w14:textId="77777777" w:rsidR="00945C46" w:rsidRPr="00076A18" w:rsidRDefault="00945C46" w:rsidP="00945C46">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37</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Business and Management</w:t>
    </w:r>
    <w:r w:rsidRPr="00B62BAE">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December </w:t>
    </w:r>
  </w:p>
  <w:p w14:paraId="32F63D37" w14:textId="77777777" w:rsidR="00945C46" w:rsidRDefault="00945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8C1"/>
    <w:multiLevelType w:val="multilevel"/>
    <w:tmpl w:val="3BA4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2724A8"/>
    <w:multiLevelType w:val="multilevel"/>
    <w:tmpl w:val="D83A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FF150F"/>
    <w:multiLevelType w:val="multilevel"/>
    <w:tmpl w:val="2E64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CB5B15"/>
    <w:multiLevelType w:val="multilevel"/>
    <w:tmpl w:val="0C6E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422D0F"/>
    <w:multiLevelType w:val="multilevel"/>
    <w:tmpl w:val="AB1E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6347798">
    <w:abstractNumId w:val="0"/>
  </w:num>
  <w:num w:numId="2" w16cid:durableId="1827547900">
    <w:abstractNumId w:val="3"/>
  </w:num>
  <w:num w:numId="3" w16cid:durableId="438183464">
    <w:abstractNumId w:val="2"/>
  </w:num>
  <w:num w:numId="4" w16cid:durableId="1117063409">
    <w:abstractNumId w:val="1"/>
  </w:num>
  <w:num w:numId="5" w16cid:durableId="2062286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B1C"/>
    <w:rsid w:val="00003B79"/>
    <w:rsid w:val="00026F37"/>
    <w:rsid w:val="000F0510"/>
    <w:rsid w:val="00115688"/>
    <w:rsid w:val="0014480C"/>
    <w:rsid w:val="002F0036"/>
    <w:rsid w:val="002F5BA2"/>
    <w:rsid w:val="003C51B8"/>
    <w:rsid w:val="003D3272"/>
    <w:rsid w:val="004128E4"/>
    <w:rsid w:val="00513B1C"/>
    <w:rsid w:val="005804F3"/>
    <w:rsid w:val="005C62E9"/>
    <w:rsid w:val="00605A23"/>
    <w:rsid w:val="006351A4"/>
    <w:rsid w:val="0075244F"/>
    <w:rsid w:val="007E0FCD"/>
    <w:rsid w:val="007E19AE"/>
    <w:rsid w:val="008E20EB"/>
    <w:rsid w:val="00945C46"/>
    <w:rsid w:val="00A47AF7"/>
    <w:rsid w:val="00AB60CC"/>
    <w:rsid w:val="00B81738"/>
    <w:rsid w:val="00B91BB9"/>
    <w:rsid w:val="00BB5C5B"/>
    <w:rsid w:val="00C51852"/>
    <w:rsid w:val="00CC4364"/>
    <w:rsid w:val="00CE7005"/>
    <w:rsid w:val="00D0270C"/>
    <w:rsid w:val="00D10411"/>
    <w:rsid w:val="00D83035"/>
    <w:rsid w:val="00DD30B2"/>
    <w:rsid w:val="00F13FAA"/>
    <w:rsid w:val="00F35E60"/>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5406"/>
  <w15:chartTrackingRefBased/>
  <w15:docId w15:val="{9C16D7F8-928C-4EB3-B52F-6E43FB83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510"/>
  </w:style>
  <w:style w:type="paragraph" w:styleId="Heading1">
    <w:name w:val="heading 1"/>
    <w:basedOn w:val="Normal"/>
    <w:next w:val="Normal"/>
    <w:link w:val="Heading1Char"/>
    <w:uiPriority w:val="9"/>
    <w:qFormat/>
    <w:rsid w:val="00513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B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B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B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B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B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B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B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B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B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B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B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B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B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B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B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B1C"/>
    <w:rPr>
      <w:rFonts w:eastAsiaTheme="majorEastAsia" w:cstheme="majorBidi"/>
      <w:color w:val="272727" w:themeColor="text1" w:themeTint="D8"/>
    </w:rPr>
  </w:style>
  <w:style w:type="paragraph" w:styleId="Title">
    <w:name w:val="Title"/>
    <w:basedOn w:val="Normal"/>
    <w:next w:val="Normal"/>
    <w:link w:val="TitleChar"/>
    <w:uiPriority w:val="10"/>
    <w:qFormat/>
    <w:rsid w:val="00513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B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B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B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B1C"/>
    <w:pPr>
      <w:spacing w:before="160"/>
      <w:jc w:val="center"/>
    </w:pPr>
    <w:rPr>
      <w:i/>
      <w:iCs/>
      <w:color w:val="404040" w:themeColor="text1" w:themeTint="BF"/>
    </w:rPr>
  </w:style>
  <w:style w:type="character" w:customStyle="1" w:styleId="QuoteChar">
    <w:name w:val="Quote Char"/>
    <w:basedOn w:val="DefaultParagraphFont"/>
    <w:link w:val="Quote"/>
    <w:uiPriority w:val="29"/>
    <w:rsid w:val="00513B1C"/>
    <w:rPr>
      <w:i/>
      <w:iCs/>
      <w:color w:val="404040" w:themeColor="text1" w:themeTint="BF"/>
    </w:rPr>
  </w:style>
  <w:style w:type="paragraph" w:styleId="ListParagraph">
    <w:name w:val="List Paragraph"/>
    <w:basedOn w:val="Normal"/>
    <w:uiPriority w:val="34"/>
    <w:qFormat/>
    <w:rsid w:val="00513B1C"/>
    <w:pPr>
      <w:ind w:left="720"/>
      <w:contextualSpacing/>
    </w:pPr>
  </w:style>
  <w:style w:type="character" w:styleId="IntenseEmphasis">
    <w:name w:val="Intense Emphasis"/>
    <w:basedOn w:val="DefaultParagraphFont"/>
    <w:uiPriority w:val="21"/>
    <w:qFormat/>
    <w:rsid w:val="00513B1C"/>
    <w:rPr>
      <w:i/>
      <w:iCs/>
      <w:color w:val="0F4761" w:themeColor="accent1" w:themeShade="BF"/>
    </w:rPr>
  </w:style>
  <w:style w:type="paragraph" w:styleId="IntenseQuote">
    <w:name w:val="Intense Quote"/>
    <w:basedOn w:val="Normal"/>
    <w:next w:val="Normal"/>
    <w:link w:val="IntenseQuoteChar"/>
    <w:uiPriority w:val="30"/>
    <w:qFormat/>
    <w:rsid w:val="00513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B1C"/>
    <w:rPr>
      <w:i/>
      <w:iCs/>
      <w:color w:val="0F4761" w:themeColor="accent1" w:themeShade="BF"/>
    </w:rPr>
  </w:style>
  <w:style w:type="character" w:styleId="IntenseReference">
    <w:name w:val="Intense Reference"/>
    <w:basedOn w:val="DefaultParagraphFont"/>
    <w:uiPriority w:val="32"/>
    <w:qFormat/>
    <w:rsid w:val="00513B1C"/>
    <w:rPr>
      <w:b/>
      <w:bCs/>
      <w:smallCaps/>
      <w:color w:val="0F4761" w:themeColor="accent1" w:themeShade="BF"/>
      <w:spacing w:val="5"/>
    </w:rPr>
  </w:style>
  <w:style w:type="paragraph" w:styleId="Header">
    <w:name w:val="header"/>
    <w:basedOn w:val="Normal"/>
    <w:link w:val="HeaderChar"/>
    <w:uiPriority w:val="99"/>
    <w:unhideWhenUsed/>
    <w:rsid w:val="00CE70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005"/>
  </w:style>
  <w:style w:type="paragraph" w:styleId="Footer">
    <w:name w:val="footer"/>
    <w:basedOn w:val="Normal"/>
    <w:link w:val="FooterChar"/>
    <w:uiPriority w:val="99"/>
    <w:unhideWhenUsed/>
    <w:rsid w:val="00CE70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005"/>
  </w:style>
  <w:style w:type="table" w:styleId="TableGrid">
    <w:name w:val="Table Grid"/>
    <w:basedOn w:val="TableNormal"/>
    <w:uiPriority w:val="39"/>
    <w:rsid w:val="00CE7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3FAA"/>
    <w:rPr>
      <w:color w:val="467886" w:themeColor="hyperlink"/>
      <w:u w:val="single"/>
    </w:rPr>
  </w:style>
  <w:style w:type="character" w:styleId="UnresolvedMention">
    <w:name w:val="Unresolved Mention"/>
    <w:basedOn w:val="DefaultParagraphFont"/>
    <w:uiPriority w:val="99"/>
    <w:semiHidden/>
    <w:unhideWhenUsed/>
    <w:rsid w:val="00D02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782596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chandran</dc:creator>
  <cp:keywords/>
  <dc:description/>
  <cp:lastModifiedBy>Ravi chandran</cp:lastModifiedBy>
  <cp:revision>18</cp:revision>
  <dcterms:created xsi:type="dcterms:W3CDTF">2025-10-30T04:27:00Z</dcterms:created>
  <dcterms:modified xsi:type="dcterms:W3CDTF">2025-12-05T06:27:00Z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2025-10-30T04:30:17Z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2233788e-8b2f-4480-8d4a-27a2933a6283</vt:lpwstr>
  </property>
  <property fmtid="{D5CDD505-2E9C-101B-9397-08002B2CF9AE}" pid="7" name="MSIP_Label_defa4170-0d19-0005-0004-bc88714345d2_ActionId">
    <vt:lpwstr>25642353-68af-4795-b95e-97301a4ad281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