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C44DD" w14:textId="21C7F259" w:rsidR="00616BD4" w:rsidRDefault="00265259" w:rsidP="00265259">
      <w:pPr>
        <w:spacing w:after="0" w:line="160" w:lineRule="atLeast"/>
        <w:jc w:val="both"/>
        <w:rPr>
          <w:rFonts w:ascii="Arial" w:eastAsia="Arial" w:hAnsi="Arial" w:cs="Arial"/>
          <w:i/>
          <w:color w:val="000000" w:themeColor="text1"/>
          <w:spacing w:val="-1"/>
          <w:sz w:val="14"/>
          <w:szCs w:val="14"/>
        </w:rPr>
      </w:pPr>
      <w:bookmarkStart w:id="0" w:name="_Hlk214371776"/>
      <w:r w:rsidRPr="00FA13C3">
        <w:rPr>
          <w:rFonts w:ascii="Arial" w:eastAsia="Arial" w:hAnsi="Arial" w:cs="Arial"/>
          <w:i/>
          <w:color w:val="000000"/>
          <w:sz w:val="14"/>
          <w:szCs w:val="14"/>
        </w:rPr>
        <w:t>©</w:t>
      </w:r>
      <w:r w:rsidRPr="00FA13C3">
        <w:rPr>
          <w:rFonts w:ascii="Arial" w:eastAsia="Arial" w:hAnsi="Arial" w:cs="Arial"/>
          <w:i/>
          <w:color w:val="000000"/>
          <w:spacing w:val="-1"/>
          <w:sz w:val="14"/>
          <w:szCs w:val="14"/>
        </w:rPr>
        <w:t xml:space="preserve"> </w:t>
      </w:r>
      <w:r w:rsidRPr="00FA13C3">
        <w:rPr>
          <w:rFonts w:ascii="Arial" w:eastAsia="Arial" w:hAnsi="Arial" w:cs="Arial"/>
          <w:i/>
          <w:color w:val="000000"/>
          <w:sz w:val="14"/>
          <w:szCs w:val="14"/>
        </w:rPr>
        <w:t>International</w:t>
      </w:r>
      <w:r w:rsidRPr="00FA13C3">
        <w:rPr>
          <w:rFonts w:ascii="Arial" w:eastAsia="Arial" w:hAnsi="Arial" w:cs="Arial"/>
          <w:i/>
          <w:color w:val="000000"/>
          <w:spacing w:val="-1"/>
          <w:sz w:val="14"/>
          <w:szCs w:val="14"/>
        </w:rPr>
        <w:t xml:space="preserve"> Academic Research Journal of Business and Management</w:t>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sidR="00616BD4">
        <w:rPr>
          <w:rFonts w:ascii="Arial" w:eastAsia="Arial" w:hAnsi="Arial" w:cs="Arial"/>
          <w:i/>
          <w:color w:val="000000"/>
          <w:spacing w:val="-1"/>
          <w:sz w:val="14"/>
          <w:szCs w:val="14"/>
        </w:rPr>
        <w:tab/>
      </w:r>
      <w:r w:rsidR="00616BD4">
        <w:rPr>
          <w:rFonts w:ascii="Arial" w:eastAsia="Arial" w:hAnsi="Arial" w:cs="Arial"/>
          <w:i/>
          <w:color w:val="000000"/>
          <w:spacing w:val="-1"/>
          <w:sz w:val="14"/>
          <w:szCs w:val="14"/>
        </w:rPr>
        <w:tab/>
      </w:r>
      <w:r w:rsidRPr="00812D87">
        <w:rPr>
          <w:rFonts w:ascii="Arial" w:eastAsia="Arial" w:hAnsi="Arial" w:cs="Arial"/>
          <w:i/>
          <w:color w:val="000000" w:themeColor="text1"/>
          <w:spacing w:val="-1"/>
          <w:sz w:val="14"/>
          <w:szCs w:val="14"/>
        </w:rPr>
        <w:t>ISSN:2227-1287</w:t>
      </w:r>
    </w:p>
    <w:p w14:paraId="07289DD6" w14:textId="60C9A3D4" w:rsidR="00B96C68" w:rsidRPr="00616BD4" w:rsidRDefault="00265259" w:rsidP="00B96C68">
      <w:pPr>
        <w:spacing w:after="0" w:line="160" w:lineRule="atLeast"/>
        <w:jc w:val="both"/>
        <w:rPr>
          <w:rFonts w:ascii="Arial" w:eastAsia="Arial" w:hAnsi="Arial" w:cs="Arial"/>
          <w:i/>
          <w:color w:val="000000"/>
          <w:spacing w:val="-1"/>
          <w:sz w:val="14"/>
          <w:szCs w:val="14"/>
        </w:rPr>
      </w:pPr>
      <w:r w:rsidRPr="00DF2646">
        <w:rPr>
          <w:rFonts w:ascii="Arial" w:eastAsia="Arial" w:hAnsi="Arial" w:cs="Arial"/>
          <w:i/>
          <w:color w:val="000000"/>
          <w:spacing w:val="-1"/>
          <w:sz w:val="14"/>
          <w:szCs w:val="14"/>
        </w:rPr>
        <w:t>Volume 13, Iss</w:t>
      </w:r>
      <w:r>
        <w:rPr>
          <w:rFonts w:ascii="Arial" w:eastAsia="Arial" w:hAnsi="Arial" w:cs="Arial"/>
          <w:i/>
          <w:color w:val="000000"/>
          <w:spacing w:val="-1"/>
          <w:sz w:val="14"/>
          <w:szCs w:val="14"/>
        </w:rPr>
        <w:t>ue</w:t>
      </w:r>
      <w:r w:rsidRPr="00DF2646">
        <w:rPr>
          <w:rFonts w:ascii="Arial" w:eastAsia="Arial" w:hAnsi="Arial" w:cs="Arial"/>
          <w:i/>
          <w:color w:val="000000"/>
          <w:spacing w:val="-1"/>
          <w:sz w:val="14"/>
          <w:szCs w:val="14"/>
        </w:rPr>
        <w:t xml:space="preserve"> No:</w:t>
      </w:r>
      <w:r>
        <w:rPr>
          <w:rFonts w:ascii="Arial" w:eastAsia="Arial" w:hAnsi="Arial" w:cs="Arial"/>
          <w:i/>
          <w:color w:val="000000"/>
          <w:spacing w:val="-1"/>
          <w:sz w:val="14"/>
          <w:szCs w:val="14"/>
        </w:rPr>
        <w:t>2</w:t>
      </w:r>
      <w:r w:rsidRPr="00DF2646">
        <w:rPr>
          <w:rFonts w:ascii="Arial" w:eastAsia="Arial" w:hAnsi="Arial" w:cs="Arial"/>
          <w:i/>
          <w:color w:val="000000"/>
          <w:spacing w:val="-1"/>
          <w:sz w:val="14"/>
          <w:szCs w:val="14"/>
        </w:rPr>
        <w:t xml:space="preserve">, </w:t>
      </w:r>
      <w:r w:rsidR="00B96C68">
        <w:rPr>
          <w:rFonts w:ascii="Arial" w:eastAsia="Arial" w:hAnsi="Arial" w:cs="Arial"/>
          <w:i/>
          <w:color w:val="000000"/>
          <w:spacing w:val="-1"/>
          <w:sz w:val="14"/>
          <w:szCs w:val="14"/>
        </w:rPr>
        <w:t>Dec</w:t>
      </w:r>
      <w:r>
        <w:rPr>
          <w:rFonts w:ascii="Arial" w:eastAsia="Arial" w:hAnsi="Arial" w:cs="Arial"/>
          <w:i/>
          <w:color w:val="000000"/>
          <w:spacing w:val="-1"/>
          <w:sz w:val="14"/>
          <w:szCs w:val="14"/>
        </w:rPr>
        <w:t>ember</w:t>
      </w:r>
      <w:r w:rsidRPr="00DF2646">
        <w:rPr>
          <w:rFonts w:ascii="Arial" w:eastAsia="Arial" w:hAnsi="Arial" w:cs="Arial"/>
          <w:i/>
          <w:color w:val="000000"/>
          <w:spacing w:val="-1"/>
          <w:sz w:val="14"/>
          <w:szCs w:val="14"/>
        </w:rPr>
        <w:t xml:space="preserve"> 2025</w:t>
      </w:r>
      <w:bookmarkEnd w:id="0"/>
      <w:r w:rsidR="00616BD4">
        <w:rPr>
          <w:rFonts w:ascii="Arial" w:eastAsia="Arial" w:hAnsi="Arial" w:cs="Arial"/>
          <w:i/>
          <w:color w:val="000000"/>
          <w:spacing w:val="-1"/>
          <w:sz w:val="14"/>
          <w:szCs w:val="14"/>
        </w:rPr>
        <w:tab/>
      </w:r>
      <w:r w:rsidR="00616BD4">
        <w:rPr>
          <w:rFonts w:ascii="Arial" w:eastAsia="Arial" w:hAnsi="Arial" w:cs="Arial"/>
          <w:i/>
          <w:color w:val="000000"/>
          <w:spacing w:val="-1"/>
          <w:sz w:val="14"/>
          <w:szCs w:val="14"/>
        </w:rPr>
        <w:tab/>
      </w:r>
      <w:r w:rsidR="00616BD4">
        <w:rPr>
          <w:rFonts w:ascii="Arial" w:eastAsia="Arial" w:hAnsi="Arial" w:cs="Arial"/>
          <w:i/>
          <w:color w:val="000000"/>
          <w:spacing w:val="-1"/>
          <w:sz w:val="14"/>
          <w:szCs w:val="14"/>
        </w:rPr>
        <w:tab/>
      </w:r>
      <w:r w:rsidR="00616BD4">
        <w:rPr>
          <w:rFonts w:ascii="Arial" w:eastAsia="Arial" w:hAnsi="Arial" w:cs="Arial"/>
          <w:i/>
          <w:color w:val="000000"/>
          <w:spacing w:val="-1"/>
          <w:sz w:val="14"/>
          <w:szCs w:val="14"/>
        </w:rPr>
        <w:tab/>
      </w:r>
      <w:r w:rsidR="00616BD4">
        <w:rPr>
          <w:rFonts w:ascii="Arial" w:eastAsia="Arial" w:hAnsi="Arial" w:cs="Arial"/>
          <w:i/>
          <w:color w:val="000000"/>
          <w:spacing w:val="-1"/>
          <w:sz w:val="14"/>
          <w:szCs w:val="14"/>
        </w:rPr>
        <w:tab/>
        <w:t xml:space="preserve">         </w:t>
      </w:r>
      <w:r w:rsidR="00B96C68">
        <w:rPr>
          <w:rFonts w:ascii="Arial" w:eastAsia="Arial" w:hAnsi="Arial" w:cs="Arial"/>
          <w:i/>
          <w:color w:val="000000"/>
          <w:spacing w:val="-1"/>
          <w:sz w:val="14"/>
          <w:szCs w:val="14"/>
        </w:rPr>
        <w:t>DOI:</w:t>
      </w:r>
      <w:r w:rsidR="00B96C68" w:rsidRPr="00F13FAA">
        <w:t xml:space="preserve"> </w:t>
      </w:r>
      <w:hyperlink r:id="rId7" w:history="1">
        <w:r w:rsidR="00C9754D" w:rsidRPr="008D2011">
          <w:rPr>
            <w:rStyle w:val="Hyperlink"/>
            <w:rFonts w:ascii="Arial" w:eastAsia="Arial" w:hAnsi="Arial" w:cs="Arial"/>
            <w:i/>
            <w:spacing w:val="-1"/>
            <w:sz w:val="14"/>
            <w:szCs w:val="14"/>
          </w:rPr>
          <w:t>https://</w:t>
        </w:r>
        <w:r w:rsidR="00C9754D" w:rsidRPr="008D2011">
          <w:rPr>
            <w:rStyle w:val="Hyperlink"/>
            <w:rFonts w:ascii="Arial" w:eastAsia="Arial" w:hAnsi="Arial" w:cs="Arial"/>
            <w:i/>
            <w:spacing w:val="-1"/>
            <w:sz w:val="14"/>
            <w:szCs w:val="14"/>
          </w:rPr>
          <w:t>d</w:t>
        </w:r>
        <w:r w:rsidR="00C9754D" w:rsidRPr="008D2011">
          <w:rPr>
            <w:rStyle w:val="Hyperlink"/>
            <w:rFonts w:ascii="Arial" w:eastAsia="Arial" w:hAnsi="Arial" w:cs="Arial"/>
            <w:i/>
            <w:spacing w:val="-1"/>
            <w:sz w:val="14"/>
            <w:szCs w:val="14"/>
          </w:rPr>
          <w:t>oi.org/10.5281/zenodo.17826036</w:t>
        </w:r>
      </w:hyperlink>
    </w:p>
    <w:p w14:paraId="1AE3E124" w14:textId="77777777" w:rsidR="00265259" w:rsidRPr="00CE7005" w:rsidRDefault="00265259" w:rsidP="00265259">
      <w:pPr>
        <w:jc w:val="center"/>
        <w:rPr>
          <w:rFonts w:ascii="Times New Roman" w:hAnsi="Times New Roman" w:cs="Times New Roman"/>
          <w:b/>
          <w:bCs/>
          <w:sz w:val="10"/>
          <w:szCs w:val="10"/>
        </w:rPr>
      </w:pPr>
    </w:p>
    <w:p w14:paraId="5852F159" w14:textId="7A8DFDF4" w:rsidR="00FC2AEB" w:rsidRDefault="00FC2AEB" w:rsidP="00FC2AEB">
      <w:pPr>
        <w:jc w:val="center"/>
        <w:rPr>
          <w:rFonts w:ascii="Times New Roman" w:hAnsi="Times New Roman" w:cs="Times New Roman"/>
          <w:b/>
          <w:bCs/>
          <w:sz w:val="32"/>
          <w:szCs w:val="32"/>
        </w:rPr>
      </w:pPr>
      <w:r w:rsidRPr="00265259">
        <w:rPr>
          <w:rFonts w:ascii="Times New Roman" w:hAnsi="Times New Roman" w:cs="Times New Roman"/>
          <w:b/>
          <w:bCs/>
          <w:sz w:val="32"/>
          <w:szCs w:val="32"/>
        </w:rPr>
        <w:t>Optimising Shipment Mode Amid QC Delays at Biocon Limited</w:t>
      </w:r>
    </w:p>
    <w:p w14:paraId="4F5F2D88" w14:textId="77777777" w:rsidR="004E23F6" w:rsidRPr="004E23F6" w:rsidRDefault="004E23F6" w:rsidP="00FC2AEB">
      <w:pPr>
        <w:jc w:val="center"/>
        <w:rPr>
          <w:rFonts w:ascii="Times New Roman" w:hAnsi="Times New Roman" w:cs="Times New Roman"/>
          <w:b/>
          <w:bCs/>
          <w:sz w:val="2"/>
          <w:szCs w:val="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5"/>
        <w:gridCol w:w="4050"/>
      </w:tblGrid>
      <w:tr w:rsidR="00265259" w:rsidRPr="00616BD4" w14:paraId="30A6FE7E" w14:textId="77777777" w:rsidTr="00265259">
        <w:trPr>
          <w:jc w:val="center"/>
        </w:trPr>
        <w:tc>
          <w:tcPr>
            <w:tcW w:w="3955" w:type="dxa"/>
          </w:tcPr>
          <w:p w14:paraId="5D43A18F" w14:textId="77777777" w:rsidR="00265259" w:rsidRPr="00616BD4" w:rsidRDefault="00265259" w:rsidP="00265259">
            <w:pPr>
              <w:jc w:val="center"/>
              <w:rPr>
                <w:rFonts w:ascii="Calibri" w:hAnsi="Calibri" w:cs="Calibri"/>
                <w:b/>
                <w:bCs/>
                <w:i/>
                <w:iCs/>
                <w:sz w:val="16"/>
                <w:szCs w:val="16"/>
              </w:rPr>
            </w:pPr>
            <w:proofErr w:type="spellStart"/>
            <w:r w:rsidRPr="00616BD4">
              <w:rPr>
                <w:rFonts w:ascii="Calibri" w:hAnsi="Calibri" w:cs="Calibri"/>
                <w:b/>
                <w:bCs/>
                <w:i/>
                <w:iCs/>
                <w:sz w:val="16"/>
                <w:szCs w:val="16"/>
              </w:rPr>
              <w:t>Bhoomikaa</w:t>
            </w:r>
            <w:proofErr w:type="spellEnd"/>
            <w:r w:rsidRPr="00616BD4">
              <w:rPr>
                <w:rFonts w:ascii="Calibri" w:hAnsi="Calibri" w:cs="Calibri"/>
                <w:b/>
                <w:bCs/>
                <w:i/>
                <w:iCs/>
                <w:sz w:val="16"/>
                <w:szCs w:val="16"/>
              </w:rPr>
              <w:t xml:space="preserve"> B</w:t>
            </w:r>
          </w:p>
          <w:p w14:paraId="75EBECC8" w14:textId="77777777" w:rsidR="00265259" w:rsidRPr="00616BD4" w:rsidRDefault="00265259" w:rsidP="00265259">
            <w:pPr>
              <w:jc w:val="center"/>
              <w:rPr>
                <w:rFonts w:ascii="Calibri" w:hAnsi="Calibri" w:cs="Calibri"/>
                <w:sz w:val="16"/>
                <w:szCs w:val="16"/>
              </w:rPr>
            </w:pPr>
            <w:r w:rsidRPr="00616BD4">
              <w:rPr>
                <w:rFonts w:ascii="Calibri" w:hAnsi="Calibri" w:cs="Calibri"/>
                <w:sz w:val="16"/>
                <w:szCs w:val="16"/>
              </w:rPr>
              <w:t xml:space="preserve">MBA Student, Faculty of Management Studies, </w:t>
            </w:r>
          </w:p>
          <w:p w14:paraId="2E777742" w14:textId="77777777" w:rsidR="00265259" w:rsidRPr="00616BD4" w:rsidRDefault="00265259" w:rsidP="00265259">
            <w:pPr>
              <w:jc w:val="center"/>
              <w:rPr>
                <w:rFonts w:ascii="Calibri" w:hAnsi="Calibri" w:cs="Calibri"/>
                <w:sz w:val="16"/>
                <w:szCs w:val="16"/>
              </w:rPr>
            </w:pPr>
            <w:r w:rsidRPr="00616BD4">
              <w:rPr>
                <w:rFonts w:ascii="Calibri" w:hAnsi="Calibri" w:cs="Calibri"/>
                <w:sz w:val="16"/>
                <w:szCs w:val="16"/>
              </w:rPr>
              <w:t xml:space="preserve">CMS Business School, </w:t>
            </w:r>
          </w:p>
          <w:p w14:paraId="0699E4A3" w14:textId="141ADD56" w:rsidR="00265259" w:rsidRPr="00616BD4" w:rsidRDefault="00265259" w:rsidP="00265259">
            <w:pPr>
              <w:jc w:val="center"/>
              <w:rPr>
                <w:rFonts w:ascii="Calibri" w:hAnsi="Calibri" w:cs="Calibri"/>
                <w:sz w:val="16"/>
                <w:szCs w:val="16"/>
              </w:rPr>
            </w:pPr>
            <w:r w:rsidRPr="00616BD4">
              <w:rPr>
                <w:rFonts w:ascii="Calibri" w:hAnsi="Calibri" w:cs="Calibri"/>
                <w:sz w:val="16"/>
                <w:szCs w:val="16"/>
              </w:rPr>
              <w:t>Jain (Deemed-to-be University), Bangalore.</w:t>
            </w:r>
          </w:p>
          <w:p w14:paraId="18FA70A9" w14:textId="77777777" w:rsidR="00265259" w:rsidRPr="00616BD4" w:rsidRDefault="00265259" w:rsidP="00265259">
            <w:pPr>
              <w:jc w:val="center"/>
              <w:rPr>
                <w:rFonts w:ascii="Calibri" w:hAnsi="Calibri" w:cs="Calibri"/>
                <w:b/>
                <w:bCs/>
                <w:sz w:val="16"/>
                <w:szCs w:val="16"/>
              </w:rPr>
            </w:pPr>
          </w:p>
        </w:tc>
        <w:tc>
          <w:tcPr>
            <w:tcW w:w="4050" w:type="dxa"/>
          </w:tcPr>
          <w:p w14:paraId="3D1B09B9" w14:textId="77777777" w:rsidR="00265259" w:rsidRPr="00616BD4" w:rsidRDefault="00265259" w:rsidP="00265259">
            <w:pPr>
              <w:jc w:val="center"/>
              <w:rPr>
                <w:rFonts w:ascii="Calibri" w:hAnsi="Calibri" w:cs="Calibri"/>
                <w:b/>
                <w:bCs/>
                <w:i/>
                <w:iCs/>
                <w:sz w:val="16"/>
                <w:szCs w:val="16"/>
              </w:rPr>
            </w:pPr>
            <w:r w:rsidRPr="00616BD4">
              <w:rPr>
                <w:rFonts w:ascii="Calibri" w:hAnsi="Calibri" w:cs="Calibri"/>
                <w:b/>
                <w:bCs/>
                <w:i/>
                <w:iCs/>
                <w:sz w:val="16"/>
                <w:szCs w:val="16"/>
              </w:rPr>
              <w:t>Vinoth Kumar V</w:t>
            </w:r>
          </w:p>
          <w:p w14:paraId="4932C676" w14:textId="77777777" w:rsidR="00265259" w:rsidRPr="00616BD4" w:rsidRDefault="00265259" w:rsidP="00265259">
            <w:pPr>
              <w:jc w:val="center"/>
              <w:rPr>
                <w:rFonts w:ascii="Calibri" w:hAnsi="Calibri" w:cs="Calibri"/>
                <w:sz w:val="16"/>
                <w:szCs w:val="16"/>
              </w:rPr>
            </w:pPr>
            <w:r w:rsidRPr="00616BD4">
              <w:rPr>
                <w:rFonts w:ascii="Calibri" w:hAnsi="Calibri" w:cs="Calibri"/>
                <w:sz w:val="16"/>
                <w:szCs w:val="16"/>
              </w:rPr>
              <w:t xml:space="preserve">Associate Professor, Faculty of Management Studies, </w:t>
            </w:r>
          </w:p>
          <w:p w14:paraId="2C8C0EA7" w14:textId="77777777" w:rsidR="00265259" w:rsidRPr="00616BD4" w:rsidRDefault="00265259" w:rsidP="00265259">
            <w:pPr>
              <w:jc w:val="center"/>
              <w:rPr>
                <w:rFonts w:ascii="Calibri" w:hAnsi="Calibri" w:cs="Calibri"/>
                <w:sz w:val="16"/>
                <w:szCs w:val="16"/>
              </w:rPr>
            </w:pPr>
            <w:r w:rsidRPr="00616BD4">
              <w:rPr>
                <w:rFonts w:ascii="Calibri" w:hAnsi="Calibri" w:cs="Calibri"/>
                <w:sz w:val="16"/>
                <w:szCs w:val="16"/>
              </w:rPr>
              <w:t xml:space="preserve">CMS Business School, </w:t>
            </w:r>
          </w:p>
          <w:p w14:paraId="5AC0C734" w14:textId="65A9D65A" w:rsidR="00265259" w:rsidRPr="00616BD4" w:rsidRDefault="00265259" w:rsidP="00265259">
            <w:pPr>
              <w:jc w:val="center"/>
              <w:rPr>
                <w:rFonts w:ascii="Calibri" w:hAnsi="Calibri" w:cs="Calibri"/>
                <w:b/>
                <w:bCs/>
                <w:sz w:val="16"/>
                <w:szCs w:val="16"/>
              </w:rPr>
            </w:pPr>
            <w:r w:rsidRPr="00616BD4">
              <w:rPr>
                <w:rFonts w:ascii="Calibri" w:hAnsi="Calibri" w:cs="Calibri"/>
                <w:sz w:val="16"/>
                <w:szCs w:val="16"/>
              </w:rPr>
              <w:t xml:space="preserve">Jain (Deemed-to-be University), Bangalore. </w:t>
            </w:r>
          </w:p>
        </w:tc>
      </w:tr>
    </w:tbl>
    <w:p w14:paraId="7D229030" w14:textId="77777777" w:rsidR="00265259" w:rsidRPr="00265259" w:rsidRDefault="00265259" w:rsidP="00265259">
      <w:pPr>
        <w:ind w:left="720" w:right="386"/>
        <w:jc w:val="center"/>
        <w:rPr>
          <w:rFonts w:ascii="Times New Roman" w:hAnsi="Times New Roman" w:cs="Times New Roman"/>
          <w:b/>
          <w:bCs/>
          <w:sz w:val="4"/>
          <w:szCs w:val="4"/>
        </w:rPr>
      </w:pPr>
    </w:p>
    <w:p w14:paraId="0101D142" w14:textId="77777777" w:rsidR="00FC2AEB" w:rsidRPr="00265259" w:rsidRDefault="00FC2AEB" w:rsidP="00265259">
      <w:pPr>
        <w:spacing w:after="0" w:line="240" w:lineRule="auto"/>
        <w:ind w:left="720" w:right="386"/>
        <w:jc w:val="center"/>
        <w:rPr>
          <w:rFonts w:ascii="Arial" w:hAnsi="Arial" w:cs="Arial"/>
          <w:b/>
          <w:bCs/>
          <w:i/>
          <w:iCs/>
          <w:sz w:val="18"/>
          <w:szCs w:val="18"/>
        </w:rPr>
      </w:pPr>
      <w:r w:rsidRPr="00265259">
        <w:rPr>
          <w:rFonts w:ascii="Arial" w:hAnsi="Arial" w:cs="Arial"/>
          <w:b/>
          <w:bCs/>
          <w:i/>
          <w:iCs/>
          <w:sz w:val="18"/>
          <w:szCs w:val="18"/>
        </w:rPr>
        <w:t>Abstract</w:t>
      </w:r>
    </w:p>
    <w:p w14:paraId="46D0B325" w14:textId="77777777" w:rsidR="00265259" w:rsidRPr="00265259" w:rsidRDefault="00265259" w:rsidP="00265259">
      <w:pPr>
        <w:spacing w:after="0" w:line="240" w:lineRule="auto"/>
        <w:ind w:left="720" w:right="386"/>
        <w:jc w:val="center"/>
        <w:rPr>
          <w:rFonts w:ascii="Arial" w:hAnsi="Arial" w:cs="Arial"/>
          <w:b/>
          <w:bCs/>
          <w:i/>
          <w:iCs/>
          <w:sz w:val="18"/>
          <w:szCs w:val="18"/>
        </w:rPr>
      </w:pPr>
    </w:p>
    <w:p w14:paraId="4C47CE37" w14:textId="77777777" w:rsidR="00BE4340" w:rsidRDefault="00BE4340" w:rsidP="00265259">
      <w:pPr>
        <w:spacing w:after="0" w:line="240" w:lineRule="auto"/>
        <w:ind w:left="720" w:right="386"/>
        <w:jc w:val="both"/>
        <w:rPr>
          <w:rFonts w:ascii="Arial" w:hAnsi="Arial" w:cs="Arial"/>
          <w:sz w:val="18"/>
          <w:szCs w:val="18"/>
        </w:rPr>
      </w:pPr>
      <w:r w:rsidRPr="00265259">
        <w:rPr>
          <w:rFonts w:ascii="Arial" w:hAnsi="Arial" w:cs="Arial"/>
          <w:sz w:val="18"/>
          <w:szCs w:val="18"/>
        </w:rPr>
        <w:t>Delays in quality control (QC) turnaround time (TAT) mess up the schedules for making drugs and often require last-minute changes from sea to air freight for exports. In the case of Biocon Limited's exports, this case looks at how the choice of shipping mode is affected by the risk of QC batch release, lane transit times, and costs. When QC clears too close to shipping cut-offs, the economics of sea freight are badly hurt. A lane-risk approach uses cGMP-anchored release gates, carrier sailing schedules, SKU prioritization, and contingency buffers to keep risk under control. Regulatory guidance on Good Distribution Practice (GDP) and quality systems shapes governance frameworks, data capture methods, and review schedules that make it easier to predict when batches will be released. The case lays out rules for managing portfolios that keep compliance while moving possible volumes back to sea lanes that are better for the economy and the environment. It also shows how to weigh the costs, benefits, and carbon footprints of different options. Data-driven decision-making is possible with dashboards that track QC TAT, payload usage, demurrage costs, and mode mix, with clear responsibilities for each. Recognizing assumptions and limitations. The terms used are in line with academic standards. Findings ought to be corroborated with local evidence. Consequences hinge significantly on the fidelity of implementation and the quality of data.</w:t>
      </w:r>
    </w:p>
    <w:p w14:paraId="6820C84F" w14:textId="77777777" w:rsidR="00265259" w:rsidRPr="00265259" w:rsidRDefault="00265259" w:rsidP="00265259">
      <w:pPr>
        <w:spacing w:after="0" w:line="240" w:lineRule="auto"/>
        <w:ind w:left="720" w:right="386"/>
        <w:jc w:val="both"/>
        <w:rPr>
          <w:rFonts w:ascii="Arial" w:hAnsi="Arial" w:cs="Arial"/>
          <w:sz w:val="18"/>
          <w:szCs w:val="18"/>
        </w:rPr>
      </w:pPr>
    </w:p>
    <w:p w14:paraId="26284F44" w14:textId="0E498C70" w:rsidR="00FC2AEB" w:rsidRPr="00265259" w:rsidRDefault="00FC2AEB" w:rsidP="00265259">
      <w:pPr>
        <w:spacing w:after="0" w:line="240" w:lineRule="auto"/>
        <w:ind w:left="720" w:right="386"/>
        <w:jc w:val="both"/>
        <w:rPr>
          <w:rFonts w:ascii="Arial" w:hAnsi="Arial" w:cs="Arial"/>
          <w:sz w:val="18"/>
          <w:szCs w:val="18"/>
        </w:rPr>
      </w:pPr>
      <w:r w:rsidRPr="00265259">
        <w:rPr>
          <w:rFonts w:ascii="Arial" w:hAnsi="Arial" w:cs="Arial"/>
          <w:b/>
          <w:bCs/>
          <w:sz w:val="18"/>
          <w:szCs w:val="18"/>
        </w:rPr>
        <w:t>Keywords:</w:t>
      </w:r>
      <w:r w:rsidRPr="00265259">
        <w:rPr>
          <w:rFonts w:ascii="Arial" w:hAnsi="Arial" w:cs="Arial"/>
          <w:sz w:val="18"/>
          <w:szCs w:val="18"/>
        </w:rPr>
        <w:t> QC TAT, cGMP, GDP, Cold-chain logistics, Mode optimization, Air-Sea trade-off</w:t>
      </w:r>
      <w:r w:rsidR="00764A1C" w:rsidRPr="00265259">
        <w:rPr>
          <w:rFonts w:ascii="Arial" w:hAnsi="Arial" w:cs="Arial"/>
          <w:sz w:val="18"/>
          <w:szCs w:val="18"/>
        </w:rPr>
        <w:t>.</w:t>
      </w:r>
    </w:p>
    <w:p w14:paraId="4B2E3157" w14:textId="77777777" w:rsidR="00265259" w:rsidRDefault="00265259" w:rsidP="00FC2AEB">
      <w:pPr>
        <w:jc w:val="both"/>
        <w:rPr>
          <w:rFonts w:ascii="Times New Roman" w:hAnsi="Times New Roman" w:cs="Times New Roman"/>
          <w:b/>
          <w:bCs/>
        </w:rPr>
      </w:pPr>
    </w:p>
    <w:p w14:paraId="5B62D95A" w14:textId="77777777" w:rsidR="00265259" w:rsidRDefault="00265259" w:rsidP="00FC2AEB">
      <w:pPr>
        <w:jc w:val="both"/>
        <w:rPr>
          <w:rFonts w:ascii="Times New Roman" w:hAnsi="Times New Roman" w:cs="Times New Roman"/>
          <w:b/>
          <w:bCs/>
        </w:rPr>
        <w:sectPr w:rsidR="00265259" w:rsidSect="00616BD4">
          <w:headerReference w:type="even" r:id="rId8"/>
          <w:headerReference w:type="default" r:id="rId9"/>
          <w:pgSz w:w="11906" w:h="16838" w:code="9"/>
          <w:pgMar w:top="1440" w:right="1440" w:bottom="1440" w:left="1440" w:header="1008" w:footer="720" w:gutter="0"/>
          <w:pgNumType w:start="44"/>
          <w:cols w:space="708"/>
          <w:docGrid w:linePitch="360"/>
        </w:sectPr>
      </w:pPr>
    </w:p>
    <w:p w14:paraId="7375B6B9" w14:textId="4CB15C49" w:rsidR="00FC2AEB" w:rsidRPr="00265259" w:rsidRDefault="00FC2AEB" w:rsidP="00265259">
      <w:pPr>
        <w:spacing w:after="120" w:line="276" w:lineRule="auto"/>
        <w:jc w:val="center"/>
        <w:rPr>
          <w:rFonts w:ascii="Arial" w:hAnsi="Arial" w:cs="Arial"/>
          <w:b/>
          <w:bCs/>
          <w:caps/>
          <w:sz w:val="22"/>
          <w:szCs w:val="22"/>
        </w:rPr>
      </w:pPr>
      <w:r w:rsidRPr="00265259">
        <w:rPr>
          <w:rFonts w:ascii="Arial" w:hAnsi="Arial" w:cs="Arial"/>
          <w:b/>
          <w:bCs/>
          <w:caps/>
          <w:sz w:val="22"/>
          <w:szCs w:val="22"/>
        </w:rPr>
        <w:t>Case Introduction</w:t>
      </w:r>
    </w:p>
    <w:p w14:paraId="5815C37C" w14:textId="77777777" w:rsidR="00265259" w:rsidRDefault="00BE4340" w:rsidP="00265259">
      <w:pPr>
        <w:spacing w:after="120" w:line="276" w:lineRule="auto"/>
        <w:ind w:firstLine="720"/>
        <w:jc w:val="both"/>
        <w:rPr>
          <w:rFonts w:ascii="Arial" w:hAnsi="Arial" w:cs="Arial"/>
          <w:sz w:val="22"/>
          <w:szCs w:val="22"/>
        </w:rPr>
      </w:pPr>
      <w:r w:rsidRPr="00265259">
        <w:rPr>
          <w:rFonts w:ascii="Arial" w:hAnsi="Arial" w:cs="Arial"/>
          <w:sz w:val="22"/>
          <w:szCs w:val="22"/>
        </w:rPr>
        <w:t xml:space="preserve">Biocon Limited is a global pharmaceutical company that sells active pharmaceutical ingredients (APIs), formulations, and biosimilars to markets with strict rules, such as the U.S. and the European Union. These markets have strict rules about releasing and distributing batches, which means that quality control (QC) processes must be very well managed. Production cycles include raw materials, intermediates, and finished goods. The quality control turnaround times (TATs) of these goods have a big effect on when they can be shipped. </w:t>
      </w:r>
    </w:p>
    <w:p w14:paraId="5E45F765" w14:textId="77777777" w:rsidR="00265259" w:rsidRDefault="00BE4340" w:rsidP="00265259">
      <w:pPr>
        <w:spacing w:after="120" w:line="276" w:lineRule="auto"/>
        <w:ind w:firstLine="720"/>
        <w:jc w:val="both"/>
        <w:rPr>
          <w:rFonts w:ascii="Arial" w:hAnsi="Arial" w:cs="Arial"/>
          <w:sz w:val="22"/>
          <w:szCs w:val="22"/>
        </w:rPr>
      </w:pPr>
      <w:r w:rsidRPr="00265259">
        <w:rPr>
          <w:rFonts w:ascii="Arial" w:hAnsi="Arial" w:cs="Arial"/>
          <w:sz w:val="22"/>
          <w:szCs w:val="22"/>
        </w:rPr>
        <w:t xml:space="preserve">Internship observations showed that QC delays made shipping windows shorter, which often meant that certain SKUs missed important sea freight cut-offs. Biocon had to use more expensive air freight options to meet delivery deadlines because of regulatory and customer demands for product integrity. This hurt </w:t>
      </w:r>
      <w:r w:rsidRPr="00265259">
        <w:rPr>
          <w:rFonts w:ascii="Arial" w:hAnsi="Arial" w:cs="Arial"/>
          <w:sz w:val="22"/>
          <w:szCs w:val="22"/>
        </w:rPr>
        <w:t xml:space="preserve">their margins and their goals for carbon footprints. </w:t>
      </w:r>
    </w:p>
    <w:p w14:paraId="2B962707" w14:textId="77777777" w:rsidR="00265259" w:rsidRDefault="00BE4340" w:rsidP="00265259">
      <w:pPr>
        <w:spacing w:after="120" w:line="276" w:lineRule="auto"/>
        <w:ind w:firstLine="720"/>
        <w:jc w:val="both"/>
        <w:rPr>
          <w:rFonts w:ascii="Arial" w:hAnsi="Arial" w:cs="Arial"/>
          <w:sz w:val="22"/>
          <w:szCs w:val="22"/>
        </w:rPr>
      </w:pPr>
      <w:r w:rsidRPr="00265259">
        <w:rPr>
          <w:rFonts w:ascii="Arial" w:hAnsi="Arial" w:cs="Arial"/>
          <w:sz w:val="22"/>
          <w:szCs w:val="22"/>
        </w:rPr>
        <w:t xml:space="preserve">The case views decisions about how to ship as being based on the reliability of the quality system. When QC release time variance is high, it is necessary to use faster air lanes. But as release predictability improves, it is possible to ship more SKUs by sea. This model links current Good Manufacturing Practice (cGMP) and Good Distribution Practice (GDP) guidelines to operational tools like real-time release status visibility, lane qualification, and strategic forward booking. </w:t>
      </w:r>
    </w:p>
    <w:p w14:paraId="34EE918F" w14:textId="77777777" w:rsidR="00265259" w:rsidRDefault="00BE4340" w:rsidP="00265259">
      <w:pPr>
        <w:spacing w:after="120" w:line="276" w:lineRule="auto"/>
        <w:ind w:firstLine="720"/>
        <w:jc w:val="both"/>
        <w:rPr>
          <w:rFonts w:ascii="Arial" w:hAnsi="Arial" w:cs="Arial"/>
          <w:sz w:val="22"/>
          <w:szCs w:val="22"/>
        </w:rPr>
      </w:pPr>
      <w:r w:rsidRPr="00265259">
        <w:rPr>
          <w:rFonts w:ascii="Arial" w:hAnsi="Arial" w:cs="Arial"/>
          <w:sz w:val="22"/>
          <w:szCs w:val="22"/>
        </w:rPr>
        <w:t xml:space="preserve">Managers need to create risk-adjusted buffers that make the most of the sea without lowering the level of assurance that goods will be released. The challenge for managers is to write down these rules for escalation and make sure that QC, production planning, and forwarding all work together under Key Performance </w:t>
      </w:r>
      <w:r w:rsidRPr="00265259">
        <w:rPr>
          <w:rFonts w:ascii="Arial" w:hAnsi="Arial" w:cs="Arial"/>
          <w:sz w:val="22"/>
          <w:szCs w:val="22"/>
        </w:rPr>
        <w:lastRenderedPageBreak/>
        <w:t xml:space="preserve">Indicators (KPIs) that are shared and measurable. These KPIs should directly link release predictability to mode selection and cost outcomes. </w:t>
      </w:r>
    </w:p>
    <w:p w14:paraId="45271949" w14:textId="2835D9BB" w:rsidR="00BE4340" w:rsidRPr="00265259" w:rsidRDefault="00BE4340" w:rsidP="00265259">
      <w:pPr>
        <w:spacing w:after="120" w:line="276" w:lineRule="auto"/>
        <w:ind w:firstLine="720"/>
        <w:jc w:val="both"/>
        <w:rPr>
          <w:rFonts w:ascii="Arial" w:hAnsi="Arial" w:cs="Arial"/>
          <w:sz w:val="22"/>
          <w:szCs w:val="22"/>
        </w:rPr>
      </w:pPr>
      <w:r w:rsidRPr="00265259">
        <w:rPr>
          <w:rFonts w:ascii="Arial" w:hAnsi="Arial" w:cs="Arial"/>
          <w:sz w:val="22"/>
          <w:szCs w:val="22"/>
        </w:rPr>
        <w:t>A cross-functional operating rhythm that includes dashboards, regular reviews, and escalation frameworks helps the company cut down on mode-switch exceptions, improve the economics of the supply chain, and keep its environmental promises.</w:t>
      </w:r>
    </w:p>
    <w:p w14:paraId="1528342C" w14:textId="77777777" w:rsidR="00265259" w:rsidRPr="00F95D91" w:rsidRDefault="00FC2AEB" w:rsidP="00F95D91">
      <w:pPr>
        <w:spacing w:after="120" w:line="276" w:lineRule="auto"/>
        <w:jc w:val="center"/>
        <w:rPr>
          <w:rFonts w:ascii="Arial" w:hAnsi="Arial" w:cs="Arial"/>
          <w:b/>
          <w:bCs/>
          <w:caps/>
          <w:sz w:val="22"/>
          <w:szCs w:val="22"/>
        </w:rPr>
      </w:pPr>
      <w:r w:rsidRPr="00F95D91">
        <w:rPr>
          <w:rFonts w:ascii="Arial" w:hAnsi="Arial" w:cs="Arial"/>
          <w:b/>
          <w:bCs/>
          <w:caps/>
          <w:sz w:val="22"/>
          <w:szCs w:val="22"/>
        </w:rPr>
        <w:t>About the Industry</w:t>
      </w:r>
    </w:p>
    <w:p w14:paraId="04C8C6FE" w14:textId="77777777" w:rsidR="00265259" w:rsidRDefault="00BE4340" w:rsidP="00265259">
      <w:pPr>
        <w:spacing w:after="120" w:line="276" w:lineRule="auto"/>
        <w:ind w:firstLine="720"/>
        <w:jc w:val="both"/>
        <w:rPr>
          <w:rFonts w:ascii="Arial" w:hAnsi="Arial" w:cs="Arial"/>
          <w:sz w:val="22"/>
          <w:szCs w:val="22"/>
        </w:rPr>
      </w:pPr>
      <w:r w:rsidRPr="00265259">
        <w:rPr>
          <w:rFonts w:ascii="Arial" w:hAnsi="Arial" w:cs="Arial"/>
          <w:sz w:val="22"/>
          <w:szCs w:val="22"/>
        </w:rPr>
        <w:t xml:space="preserve">Under strict rules, pharmaceutical supply chains deal with products that are sensitive to temperature and time. Good Distribution Practice (GDP) brings together everyone's expectations about how to store, handle, document, and pass things between stakeholders. The Airline Temperature Control Regulations (TCR) set rules for how to package, label, and control the temperature of multimodal shipments, especially those that go by air and sea. </w:t>
      </w:r>
    </w:p>
    <w:p w14:paraId="5B7AC1E9" w14:textId="77777777" w:rsidR="00265259" w:rsidRDefault="00BE4340" w:rsidP="00265259">
      <w:pPr>
        <w:spacing w:after="120" w:line="276" w:lineRule="auto"/>
        <w:ind w:firstLine="720"/>
        <w:jc w:val="both"/>
        <w:rPr>
          <w:rFonts w:ascii="Arial" w:hAnsi="Arial" w:cs="Arial"/>
          <w:b/>
          <w:bCs/>
          <w:sz w:val="22"/>
          <w:szCs w:val="22"/>
        </w:rPr>
      </w:pPr>
      <w:r w:rsidRPr="00265259">
        <w:rPr>
          <w:rFonts w:ascii="Arial" w:hAnsi="Arial" w:cs="Arial"/>
          <w:sz w:val="22"/>
          <w:szCs w:val="22"/>
        </w:rPr>
        <w:t xml:space="preserve">Quality systems like cGMP and International Council for Harmonisation (ICH) Q10 have very strict rules for validated processes and documented batch release records. This makes it hard to speed up production schedules that might skip important testing. </w:t>
      </w:r>
    </w:p>
    <w:p w14:paraId="5901D8AE" w14:textId="77777777" w:rsidR="00265259" w:rsidRDefault="00BE4340" w:rsidP="00265259">
      <w:pPr>
        <w:spacing w:after="120" w:line="276" w:lineRule="auto"/>
        <w:ind w:firstLine="720"/>
        <w:jc w:val="both"/>
        <w:rPr>
          <w:rFonts w:ascii="Arial" w:hAnsi="Arial" w:cs="Arial"/>
          <w:b/>
          <w:bCs/>
          <w:sz w:val="22"/>
          <w:szCs w:val="22"/>
        </w:rPr>
      </w:pPr>
      <w:r w:rsidRPr="00265259">
        <w:rPr>
          <w:rFonts w:ascii="Arial" w:hAnsi="Arial" w:cs="Arial"/>
          <w:sz w:val="22"/>
          <w:szCs w:val="22"/>
        </w:rPr>
        <w:t xml:space="preserve">The economics of the industry reward precise "right-sizing" of protection strategies. For example, active container use and air freight are only for very sensitive products and shipments that are late to arrive, while qualified sea lanes and hybrid or passive packaging are used for stable, predictable corridors. Digital release dashboards and forward slotting with carriers are two examples of new technology that lowers variance exposure by making sure that quality gates and shipping cut-offs are in sync. </w:t>
      </w:r>
    </w:p>
    <w:p w14:paraId="37C999C8" w14:textId="08FC7ADB" w:rsidR="00BE4340" w:rsidRPr="00265259" w:rsidRDefault="00BE4340" w:rsidP="00265259">
      <w:pPr>
        <w:spacing w:after="120" w:line="276" w:lineRule="auto"/>
        <w:ind w:firstLine="720"/>
        <w:jc w:val="both"/>
        <w:rPr>
          <w:rFonts w:ascii="Arial" w:hAnsi="Arial" w:cs="Arial"/>
          <w:b/>
          <w:bCs/>
          <w:sz w:val="22"/>
          <w:szCs w:val="22"/>
        </w:rPr>
      </w:pPr>
      <w:r w:rsidRPr="00265259">
        <w:rPr>
          <w:rFonts w:ascii="Arial" w:hAnsi="Arial" w:cs="Arial"/>
          <w:sz w:val="22"/>
          <w:szCs w:val="22"/>
        </w:rPr>
        <w:t>These regulatory and practical design principles push pharmaceutical companies toward adopting multimodal logistics strategies that balance compliance, cost, carbon footprint, and service reliability.</w:t>
      </w:r>
    </w:p>
    <w:p w14:paraId="1F831A4B" w14:textId="77777777" w:rsidR="00FC2AEB" w:rsidRPr="00F95D91" w:rsidRDefault="00FC2AEB" w:rsidP="00F95D91">
      <w:pPr>
        <w:spacing w:after="120" w:line="276" w:lineRule="auto"/>
        <w:jc w:val="center"/>
        <w:rPr>
          <w:rFonts w:ascii="Arial" w:hAnsi="Arial" w:cs="Arial"/>
          <w:b/>
          <w:bCs/>
          <w:caps/>
          <w:sz w:val="22"/>
          <w:szCs w:val="22"/>
        </w:rPr>
      </w:pPr>
      <w:r w:rsidRPr="00F95D91">
        <w:rPr>
          <w:rFonts w:ascii="Arial" w:hAnsi="Arial" w:cs="Arial"/>
          <w:b/>
          <w:bCs/>
          <w:caps/>
          <w:sz w:val="22"/>
          <w:szCs w:val="22"/>
        </w:rPr>
        <w:t>Problems Faced by the Industry</w:t>
      </w:r>
    </w:p>
    <w:p w14:paraId="03946DD1" w14:textId="77777777" w:rsidR="00FC2AEB" w:rsidRPr="00265259" w:rsidRDefault="00FC2AEB" w:rsidP="00265259">
      <w:pPr>
        <w:spacing w:after="120" w:line="276" w:lineRule="auto"/>
        <w:ind w:firstLine="360"/>
        <w:jc w:val="both"/>
        <w:rPr>
          <w:rFonts w:ascii="Arial" w:hAnsi="Arial" w:cs="Arial"/>
          <w:sz w:val="22"/>
          <w:szCs w:val="22"/>
        </w:rPr>
      </w:pPr>
      <w:r w:rsidRPr="00265259">
        <w:rPr>
          <w:rFonts w:ascii="Arial" w:hAnsi="Arial" w:cs="Arial"/>
          <w:sz w:val="22"/>
          <w:szCs w:val="22"/>
        </w:rPr>
        <w:t>Common frictions in the pharmaceutical logistics industry include:</w:t>
      </w:r>
    </w:p>
    <w:p w14:paraId="704591BC" w14:textId="77777777" w:rsidR="00FC2AEB" w:rsidRPr="00265259" w:rsidRDefault="00FC2AEB" w:rsidP="00265259">
      <w:pPr>
        <w:numPr>
          <w:ilvl w:val="0"/>
          <w:numId w:val="1"/>
        </w:numPr>
        <w:spacing w:after="120" w:line="276" w:lineRule="auto"/>
        <w:jc w:val="both"/>
        <w:rPr>
          <w:rFonts w:ascii="Arial" w:hAnsi="Arial" w:cs="Arial"/>
          <w:sz w:val="22"/>
          <w:szCs w:val="22"/>
        </w:rPr>
      </w:pPr>
      <w:r w:rsidRPr="00265259">
        <w:rPr>
          <w:rFonts w:ascii="Arial" w:hAnsi="Arial" w:cs="Arial"/>
          <w:sz w:val="22"/>
          <w:szCs w:val="22"/>
        </w:rPr>
        <w:t>QC queueing and retesting delaying batch release.</w:t>
      </w:r>
    </w:p>
    <w:p w14:paraId="37F4DCF2" w14:textId="77777777" w:rsidR="00FC2AEB" w:rsidRPr="00265259" w:rsidRDefault="00FC2AEB" w:rsidP="00265259">
      <w:pPr>
        <w:numPr>
          <w:ilvl w:val="0"/>
          <w:numId w:val="1"/>
        </w:numPr>
        <w:spacing w:after="120" w:line="276" w:lineRule="auto"/>
        <w:jc w:val="both"/>
        <w:rPr>
          <w:rFonts w:ascii="Arial" w:hAnsi="Arial" w:cs="Arial"/>
          <w:sz w:val="22"/>
          <w:szCs w:val="22"/>
        </w:rPr>
      </w:pPr>
      <w:r w:rsidRPr="00265259">
        <w:rPr>
          <w:rFonts w:ascii="Arial" w:hAnsi="Arial" w:cs="Arial"/>
          <w:sz w:val="22"/>
          <w:szCs w:val="22"/>
        </w:rPr>
        <w:t>Documentation gaps and mismatches delaying confirmation of release clearance.</w:t>
      </w:r>
    </w:p>
    <w:p w14:paraId="47CD0F4C" w14:textId="77777777" w:rsidR="00FC2AEB" w:rsidRPr="00265259" w:rsidRDefault="00FC2AEB" w:rsidP="00265259">
      <w:pPr>
        <w:numPr>
          <w:ilvl w:val="0"/>
          <w:numId w:val="1"/>
        </w:numPr>
        <w:spacing w:after="120" w:line="276" w:lineRule="auto"/>
        <w:jc w:val="both"/>
        <w:rPr>
          <w:rFonts w:ascii="Arial" w:hAnsi="Arial" w:cs="Arial"/>
          <w:sz w:val="22"/>
          <w:szCs w:val="22"/>
        </w:rPr>
      </w:pPr>
      <w:r w:rsidRPr="00265259">
        <w:rPr>
          <w:rFonts w:ascii="Arial" w:hAnsi="Arial" w:cs="Arial"/>
          <w:sz w:val="22"/>
          <w:szCs w:val="22"/>
        </w:rPr>
        <w:t>Limited visibility of downstream shipping cut-offs leading to inefficiencies.</w:t>
      </w:r>
    </w:p>
    <w:p w14:paraId="20D0B938" w14:textId="77777777" w:rsidR="00FC2AEB" w:rsidRPr="00265259" w:rsidRDefault="00FC2AEB" w:rsidP="00265259">
      <w:pPr>
        <w:numPr>
          <w:ilvl w:val="0"/>
          <w:numId w:val="1"/>
        </w:numPr>
        <w:spacing w:after="120" w:line="276" w:lineRule="auto"/>
        <w:jc w:val="both"/>
        <w:rPr>
          <w:rFonts w:ascii="Arial" w:hAnsi="Arial" w:cs="Arial"/>
          <w:sz w:val="22"/>
          <w:szCs w:val="22"/>
        </w:rPr>
      </w:pPr>
      <w:r w:rsidRPr="00265259">
        <w:rPr>
          <w:rFonts w:ascii="Arial" w:hAnsi="Arial" w:cs="Arial"/>
          <w:sz w:val="22"/>
          <w:szCs w:val="22"/>
        </w:rPr>
        <w:t>High reliance on air freight as a reactive measure inflating costs and carbon emissions.</w:t>
      </w:r>
    </w:p>
    <w:p w14:paraId="025E4E52" w14:textId="77777777" w:rsidR="00FC2AEB" w:rsidRPr="00265259" w:rsidRDefault="00FC2AEB" w:rsidP="00265259">
      <w:pPr>
        <w:numPr>
          <w:ilvl w:val="0"/>
          <w:numId w:val="1"/>
        </w:numPr>
        <w:spacing w:after="120" w:line="276" w:lineRule="auto"/>
        <w:jc w:val="both"/>
        <w:rPr>
          <w:rFonts w:ascii="Arial" w:hAnsi="Arial" w:cs="Arial"/>
          <w:sz w:val="22"/>
          <w:szCs w:val="22"/>
        </w:rPr>
      </w:pPr>
      <w:r w:rsidRPr="00265259">
        <w:rPr>
          <w:rFonts w:ascii="Arial" w:hAnsi="Arial" w:cs="Arial"/>
          <w:sz w:val="22"/>
          <w:szCs w:val="22"/>
        </w:rPr>
        <w:t>Fragmented accountability between QC, production planning, and forwarding functions obscuring trade-offs.</w:t>
      </w:r>
    </w:p>
    <w:p w14:paraId="76EF635F" w14:textId="77777777" w:rsidR="00FC2AEB" w:rsidRPr="00265259" w:rsidRDefault="00FC2AEB" w:rsidP="00265259">
      <w:pPr>
        <w:numPr>
          <w:ilvl w:val="0"/>
          <w:numId w:val="1"/>
        </w:numPr>
        <w:spacing w:after="120" w:line="276" w:lineRule="auto"/>
        <w:jc w:val="both"/>
        <w:rPr>
          <w:rFonts w:ascii="Arial" w:hAnsi="Arial" w:cs="Arial"/>
          <w:sz w:val="22"/>
          <w:szCs w:val="22"/>
        </w:rPr>
      </w:pPr>
      <w:r w:rsidRPr="00265259">
        <w:rPr>
          <w:rFonts w:ascii="Arial" w:hAnsi="Arial" w:cs="Arial"/>
          <w:sz w:val="22"/>
          <w:szCs w:val="22"/>
        </w:rPr>
        <w:t>Regulatory constraints forbidding test skipping, emphasizing governance and information flow improvements over shortcuts.</w:t>
      </w:r>
    </w:p>
    <w:p w14:paraId="678272A2" w14:textId="2811D4E5" w:rsidR="00BE4340" w:rsidRPr="00265259" w:rsidRDefault="00BE4340" w:rsidP="00265259">
      <w:pPr>
        <w:spacing w:after="120" w:line="276" w:lineRule="auto"/>
        <w:ind w:firstLine="720"/>
        <w:jc w:val="both"/>
        <w:rPr>
          <w:rFonts w:ascii="Arial" w:eastAsia="Times New Roman" w:hAnsi="Arial" w:cs="Arial"/>
          <w:kern w:val="0"/>
          <w:sz w:val="22"/>
          <w:szCs w:val="22"/>
          <w:lang w:eastAsia="en-IN"/>
          <w14:ligatures w14:val="none"/>
        </w:rPr>
      </w:pPr>
      <w:r w:rsidRPr="00265259">
        <w:rPr>
          <w:rFonts w:ascii="Arial" w:eastAsia="Times New Roman" w:hAnsi="Arial" w:cs="Arial"/>
          <w:kern w:val="0"/>
          <w:sz w:val="22"/>
          <w:szCs w:val="22"/>
          <w:lang w:eastAsia="en-IN"/>
          <w14:ligatures w14:val="none"/>
        </w:rPr>
        <w:t>Standards set by airlines and GDP require certain handling and data. Not embedding these causes delays in distribution and compliance risks. Research in the industry says that integrated dashboards, coordinated mode qualifications, and risk-based escalation processes are good ways to fight back.</w:t>
      </w:r>
    </w:p>
    <w:p w14:paraId="3B7CCFD2" w14:textId="034775E5" w:rsidR="00FC2AEB" w:rsidRPr="00230FA3" w:rsidRDefault="00FC2AEB" w:rsidP="00230FA3">
      <w:pPr>
        <w:spacing w:after="120" w:line="276" w:lineRule="auto"/>
        <w:jc w:val="center"/>
        <w:rPr>
          <w:rFonts w:ascii="Arial" w:hAnsi="Arial" w:cs="Arial"/>
          <w:b/>
          <w:bCs/>
          <w:caps/>
          <w:sz w:val="22"/>
          <w:szCs w:val="22"/>
        </w:rPr>
      </w:pPr>
      <w:r w:rsidRPr="00230FA3">
        <w:rPr>
          <w:rFonts w:ascii="Arial" w:hAnsi="Arial" w:cs="Arial"/>
          <w:b/>
          <w:bCs/>
          <w:caps/>
          <w:sz w:val="22"/>
          <w:szCs w:val="22"/>
        </w:rPr>
        <w:t>About the Company</w:t>
      </w:r>
    </w:p>
    <w:p w14:paraId="098FC216" w14:textId="77777777" w:rsidR="00BE4340" w:rsidRPr="00265259" w:rsidRDefault="00BE4340" w:rsidP="00265259">
      <w:pPr>
        <w:spacing w:after="120" w:line="276" w:lineRule="auto"/>
        <w:ind w:firstLine="720"/>
        <w:jc w:val="both"/>
        <w:rPr>
          <w:rFonts w:ascii="Arial" w:hAnsi="Arial" w:cs="Arial"/>
          <w:sz w:val="22"/>
          <w:szCs w:val="22"/>
        </w:rPr>
      </w:pPr>
      <w:r w:rsidRPr="00265259">
        <w:rPr>
          <w:rFonts w:ascii="Arial" w:hAnsi="Arial" w:cs="Arial"/>
          <w:sz w:val="22"/>
          <w:szCs w:val="22"/>
        </w:rPr>
        <w:t xml:space="preserve">Biocon Limited has cutting-edge manufacturing and quality control facilities that have been checked by the USFDA and EMA. These facilities support the export of APIs, formulations, and biosimilars around the world. SIP internship observations </w:t>
      </w:r>
      <w:r w:rsidRPr="00265259">
        <w:rPr>
          <w:rFonts w:ascii="Arial" w:hAnsi="Arial" w:cs="Arial"/>
          <w:sz w:val="22"/>
          <w:szCs w:val="22"/>
        </w:rPr>
        <w:lastRenderedPageBreak/>
        <w:t xml:space="preserve">showed that QC release time variability put some SKUs' sea freight schedules at risk, which often meant costly air freight uplifts and associated demurrage costs. </w:t>
      </w:r>
    </w:p>
    <w:p w14:paraId="6E649B8C" w14:textId="77777777" w:rsidR="00BE4340" w:rsidRPr="00265259" w:rsidRDefault="00BE4340" w:rsidP="00265259">
      <w:pPr>
        <w:spacing w:after="120" w:line="276" w:lineRule="auto"/>
        <w:ind w:firstLine="720"/>
        <w:jc w:val="both"/>
        <w:rPr>
          <w:rFonts w:ascii="Arial" w:hAnsi="Arial" w:cs="Arial"/>
          <w:sz w:val="22"/>
          <w:szCs w:val="22"/>
        </w:rPr>
      </w:pPr>
      <w:r w:rsidRPr="00265259">
        <w:rPr>
          <w:rFonts w:ascii="Arial" w:hAnsi="Arial" w:cs="Arial"/>
          <w:sz w:val="22"/>
          <w:szCs w:val="22"/>
        </w:rPr>
        <w:t xml:space="preserve">The company's compliance and quality management systems are strong, but there is room for improvement in making release timing more predictable and planning for the future. A cross-functional, lane-risk-based operating system that shows the real-time QC status and lets you book forward on qualified sea lanes can cut down on firewall exceptions to air freight without losing regulatory assurance. </w:t>
      </w:r>
    </w:p>
    <w:p w14:paraId="6E3DF27A" w14:textId="304F545F" w:rsidR="00BE4340" w:rsidRPr="00265259" w:rsidRDefault="00BE4340" w:rsidP="00265259">
      <w:pPr>
        <w:spacing w:after="120" w:line="276" w:lineRule="auto"/>
        <w:ind w:firstLine="720"/>
        <w:jc w:val="both"/>
        <w:rPr>
          <w:rFonts w:ascii="Arial" w:hAnsi="Arial" w:cs="Arial"/>
          <w:sz w:val="22"/>
          <w:szCs w:val="22"/>
        </w:rPr>
      </w:pPr>
      <w:r w:rsidRPr="00265259">
        <w:rPr>
          <w:rFonts w:ascii="Arial" w:hAnsi="Arial" w:cs="Arial"/>
          <w:sz w:val="22"/>
          <w:szCs w:val="22"/>
        </w:rPr>
        <w:t>Adding GDP and ICH Q10 practices to digital dashboards and tiered review meetings makes learning loops in the organization. This helps to keep lowering release variance and makes more SKUs eligible for sea shipments.</w:t>
      </w:r>
    </w:p>
    <w:p w14:paraId="749C9EE0" w14:textId="77777777" w:rsidR="00FC2AEB" w:rsidRPr="00265259" w:rsidRDefault="00FC2AEB" w:rsidP="00265259">
      <w:pPr>
        <w:spacing w:after="120" w:line="276" w:lineRule="auto"/>
        <w:jc w:val="both"/>
        <w:rPr>
          <w:rFonts w:ascii="Arial" w:hAnsi="Arial" w:cs="Arial"/>
          <w:b/>
          <w:bCs/>
          <w:sz w:val="22"/>
          <w:szCs w:val="22"/>
        </w:rPr>
      </w:pPr>
      <w:r w:rsidRPr="00265259">
        <w:rPr>
          <w:rFonts w:ascii="Arial" w:hAnsi="Arial" w:cs="Arial"/>
          <w:b/>
          <w:bCs/>
          <w:sz w:val="22"/>
          <w:szCs w:val="22"/>
        </w:rPr>
        <w:t>Problems Faced by the Company</w:t>
      </w:r>
    </w:p>
    <w:p w14:paraId="3787FC4C" w14:textId="77777777" w:rsidR="00FC2AEB" w:rsidRPr="00265259" w:rsidRDefault="00FC2AEB" w:rsidP="00265259">
      <w:pPr>
        <w:spacing w:after="120" w:line="276" w:lineRule="auto"/>
        <w:ind w:firstLine="720"/>
        <w:jc w:val="both"/>
        <w:rPr>
          <w:rFonts w:ascii="Arial" w:hAnsi="Arial" w:cs="Arial"/>
          <w:sz w:val="22"/>
          <w:szCs w:val="22"/>
        </w:rPr>
      </w:pPr>
      <w:r w:rsidRPr="00265259">
        <w:rPr>
          <w:rFonts w:ascii="Arial" w:hAnsi="Arial" w:cs="Arial"/>
          <w:sz w:val="22"/>
          <w:szCs w:val="22"/>
        </w:rPr>
        <w:t>At Biocon, several operational challenges persist:</w:t>
      </w:r>
    </w:p>
    <w:p w14:paraId="76E6D270" w14:textId="77777777" w:rsidR="00FC2AEB" w:rsidRPr="00265259" w:rsidRDefault="00FC2AEB" w:rsidP="00265259">
      <w:pPr>
        <w:numPr>
          <w:ilvl w:val="0"/>
          <w:numId w:val="2"/>
        </w:numPr>
        <w:tabs>
          <w:tab w:val="clear" w:pos="720"/>
        </w:tabs>
        <w:spacing w:after="120" w:line="276" w:lineRule="auto"/>
        <w:ind w:left="360"/>
        <w:jc w:val="both"/>
        <w:rPr>
          <w:rFonts w:ascii="Arial" w:hAnsi="Arial" w:cs="Arial"/>
          <w:sz w:val="22"/>
          <w:szCs w:val="22"/>
        </w:rPr>
      </w:pPr>
      <w:r w:rsidRPr="00265259">
        <w:rPr>
          <w:rFonts w:ascii="Arial" w:hAnsi="Arial" w:cs="Arial"/>
          <w:sz w:val="22"/>
          <w:szCs w:val="22"/>
        </w:rPr>
        <w:t>Delayed QC releases for export-critical SKUs frequently force last-minute diversions to air freight, raising direct logistics costs and indirectly increasing carbon footprints, impacting ESG targets.</w:t>
      </w:r>
    </w:p>
    <w:p w14:paraId="102402EF" w14:textId="77777777" w:rsidR="00FC2AEB" w:rsidRPr="00265259" w:rsidRDefault="00FC2AEB" w:rsidP="00265259">
      <w:pPr>
        <w:numPr>
          <w:ilvl w:val="0"/>
          <w:numId w:val="2"/>
        </w:numPr>
        <w:tabs>
          <w:tab w:val="clear" w:pos="720"/>
        </w:tabs>
        <w:spacing w:after="120" w:line="276" w:lineRule="auto"/>
        <w:ind w:left="360"/>
        <w:jc w:val="both"/>
        <w:rPr>
          <w:rFonts w:ascii="Arial" w:hAnsi="Arial" w:cs="Arial"/>
          <w:sz w:val="22"/>
          <w:szCs w:val="22"/>
        </w:rPr>
      </w:pPr>
      <w:r w:rsidRPr="00265259">
        <w:rPr>
          <w:rFonts w:ascii="Arial" w:hAnsi="Arial" w:cs="Arial"/>
          <w:sz w:val="22"/>
          <w:szCs w:val="22"/>
        </w:rPr>
        <w:t>Small batch sizes diminish sea freight payload utilization efficiency, inflating per-unit costs.</w:t>
      </w:r>
    </w:p>
    <w:p w14:paraId="50914232" w14:textId="77777777" w:rsidR="00FC2AEB" w:rsidRPr="00265259" w:rsidRDefault="00FC2AEB" w:rsidP="00265259">
      <w:pPr>
        <w:numPr>
          <w:ilvl w:val="0"/>
          <w:numId w:val="2"/>
        </w:numPr>
        <w:tabs>
          <w:tab w:val="clear" w:pos="720"/>
        </w:tabs>
        <w:spacing w:after="120" w:line="276" w:lineRule="auto"/>
        <w:ind w:left="360"/>
        <w:jc w:val="both"/>
        <w:rPr>
          <w:rFonts w:ascii="Arial" w:hAnsi="Arial" w:cs="Arial"/>
          <w:sz w:val="22"/>
          <w:szCs w:val="22"/>
        </w:rPr>
      </w:pPr>
      <w:r w:rsidRPr="00265259">
        <w:rPr>
          <w:rFonts w:ascii="Arial" w:hAnsi="Arial" w:cs="Arial"/>
          <w:sz w:val="22"/>
          <w:szCs w:val="22"/>
        </w:rPr>
        <w:t>Uneven release-status visibility and lack of structured forward lane slotting limit the ability to pre-position shipments optimally.</w:t>
      </w:r>
    </w:p>
    <w:p w14:paraId="6FA55AEB" w14:textId="77777777" w:rsidR="00FC2AEB" w:rsidRPr="00265259" w:rsidRDefault="00FC2AEB" w:rsidP="00265259">
      <w:pPr>
        <w:numPr>
          <w:ilvl w:val="0"/>
          <w:numId w:val="2"/>
        </w:numPr>
        <w:tabs>
          <w:tab w:val="clear" w:pos="720"/>
        </w:tabs>
        <w:spacing w:after="120" w:line="276" w:lineRule="auto"/>
        <w:ind w:left="360"/>
        <w:jc w:val="both"/>
        <w:rPr>
          <w:rFonts w:ascii="Arial" w:hAnsi="Arial" w:cs="Arial"/>
          <w:sz w:val="22"/>
          <w:szCs w:val="22"/>
        </w:rPr>
      </w:pPr>
      <w:r w:rsidRPr="00265259">
        <w:rPr>
          <w:rFonts w:ascii="Arial" w:hAnsi="Arial" w:cs="Arial"/>
          <w:sz w:val="22"/>
          <w:szCs w:val="22"/>
        </w:rPr>
        <w:t>Governance gaps including unclear risk escalation thresholds, inconsistent dashboard metrics, and ad hoc mode switches reduce overall shipment predictability.</w:t>
      </w:r>
    </w:p>
    <w:p w14:paraId="359DD2A5" w14:textId="77777777" w:rsidR="00FC2AEB" w:rsidRPr="00265259" w:rsidRDefault="00FC2AEB" w:rsidP="00265259">
      <w:pPr>
        <w:numPr>
          <w:ilvl w:val="0"/>
          <w:numId w:val="2"/>
        </w:numPr>
        <w:tabs>
          <w:tab w:val="clear" w:pos="720"/>
        </w:tabs>
        <w:spacing w:after="120" w:line="276" w:lineRule="auto"/>
        <w:ind w:left="360"/>
        <w:jc w:val="both"/>
        <w:rPr>
          <w:rFonts w:ascii="Arial" w:hAnsi="Arial" w:cs="Arial"/>
          <w:sz w:val="22"/>
          <w:szCs w:val="22"/>
        </w:rPr>
      </w:pPr>
      <w:r w:rsidRPr="00265259">
        <w:rPr>
          <w:rFonts w:ascii="Arial" w:hAnsi="Arial" w:cs="Arial"/>
          <w:sz w:val="22"/>
          <w:szCs w:val="22"/>
        </w:rPr>
        <w:t xml:space="preserve">Coordination gaps between QC, production planning, and logistics </w:t>
      </w:r>
      <w:r w:rsidRPr="00265259">
        <w:rPr>
          <w:rFonts w:ascii="Arial" w:hAnsi="Arial" w:cs="Arial"/>
          <w:sz w:val="22"/>
          <w:szCs w:val="22"/>
        </w:rPr>
        <w:t>exacerbate uncertainty and reactive decisions.</w:t>
      </w:r>
    </w:p>
    <w:p w14:paraId="57C7C59E" w14:textId="5CFFF315" w:rsidR="00FC2AEB" w:rsidRPr="00265259" w:rsidRDefault="00FC2AEB" w:rsidP="00265259">
      <w:pPr>
        <w:spacing w:after="120" w:line="276" w:lineRule="auto"/>
        <w:jc w:val="both"/>
        <w:rPr>
          <w:rFonts w:ascii="Arial" w:hAnsi="Arial" w:cs="Arial"/>
          <w:sz w:val="22"/>
          <w:szCs w:val="22"/>
        </w:rPr>
      </w:pPr>
      <w:r w:rsidRPr="00265259">
        <w:rPr>
          <w:rFonts w:ascii="Arial" w:hAnsi="Arial" w:cs="Arial"/>
          <w:sz w:val="22"/>
          <w:szCs w:val="22"/>
        </w:rPr>
        <w:t>Codifying risk-based escalation policies and aligning shared KPIs across departments are necessary to stabilize export performance and optimize logistics cost and environmental outcomes.</w:t>
      </w:r>
    </w:p>
    <w:p w14:paraId="25F52F52" w14:textId="77777777" w:rsidR="00FC2AEB" w:rsidRPr="00230FA3" w:rsidRDefault="00FC2AEB" w:rsidP="00230FA3">
      <w:pPr>
        <w:spacing w:after="120" w:line="276" w:lineRule="auto"/>
        <w:jc w:val="center"/>
        <w:rPr>
          <w:rFonts w:ascii="Arial" w:hAnsi="Arial" w:cs="Arial"/>
          <w:b/>
          <w:bCs/>
          <w:caps/>
          <w:sz w:val="22"/>
          <w:szCs w:val="22"/>
        </w:rPr>
      </w:pPr>
      <w:r w:rsidRPr="00230FA3">
        <w:rPr>
          <w:rFonts w:ascii="Arial" w:hAnsi="Arial" w:cs="Arial"/>
          <w:b/>
          <w:bCs/>
          <w:caps/>
          <w:sz w:val="22"/>
          <w:szCs w:val="22"/>
        </w:rPr>
        <w:t>Academic Learning</w:t>
      </w:r>
    </w:p>
    <w:p w14:paraId="4A251D01" w14:textId="77777777" w:rsidR="00FC2AEB" w:rsidRPr="00265259" w:rsidRDefault="00FC2AEB" w:rsidP="00265259">
      <w:pPr>
        <w:spacing w:after="120" w:line="276" w:lineRule="auto"/>
        <w:ind w:firstLine="720"/>
        <w:jc w:val="both"/>
        <w:rPr>
          <w:rFonts w:ascii="Arial" w:hAnsi="Arial" w:cs="Arial"/>
          <w:sz w:val="22"/>
          <w:szCs w:val="22"/>
        </w:rPr>
      </w:pPr>
      <w:r w:rsidRPr="00265259">
        <w:rPr>
          <w:rFonts w:ascii="Arial" w:hAnsi="Arial" w:cs="Arial"/>
          <w:sz w:val="22"/>
          <w:szCs w:val="22"/>
        </w:rPr>
        <w:t>This case integrates quality-system thinking with logistics and supply chain design to develop critical managerial skills:</w:t>
      </w:r>
    </w:p>
    <w:p w14:paraId="0CD67C65" w14:textId="77777777" w:rsidR="00FC2AEB" w:rsidRPr="00265259" w:rsidRDefault="00FC2AEB" w:rsidP="00265259">
      <w:pPr>
        <w:numPr>
          <w:ilvl w:val="0"/>
          <w:numId w:val="3"/>
        </w:numPr>
        <w:tabs>
          <w:tab w:val="clear" w:pos="720"/>
        </w:tabs>
        <w:spacing w:after="120" w:line="276" w:lineRule="auto"/>
        <w:ind w:left="360"/>
        <w:jc w:val="both"/>
        <w:rPr>
          <w:rFonts w:ascii="Arial" w:hAnsi="Arial" w:cs="Arial"/>
          <w:sz w:val="22"/>
          <w:szCs w:val="22"/>
        </w:rPr>
      </w:pPr>
      <w:r w:rsidRPr="00265259">
        <w:rPr>
          <w:rFonts w:ascii="Arial" w:hAnsi="Arial" w:cs="Arial"/>
          <w:sz w:val="22"/>
          <w:szCs w:val="22"/>
        </w:rPr>
        <w:t>Mapping how cGMP and ICH Q10 frameworks guide batch release process structures, emphasizing that skipping tests is neither permissible nor sustainable.</w:t>
      </w:r>
    </w:p>
    <w:p w14:paraId="1B6ED7AE" w14:textId="77777777" w:rsidR="00FC2AEB" w:rsidRPr="00265259" w:rsidRDefault="00FC2AEB" w:rsidP="00265259">
      <w:pPr>
        <w:numPr>
          <w:ilvl w:val="0"/>
          <w:numId w:val="3"/>
        </w:numPr>
        <w:tabs>
          <w:tab w:val="clear" w:pos="720"/>
        </w:tabs>
        <w:spacing w:after="120" w:line="276" w:lineRule="auto"/>
        <w:ind w:left="360"/>
        <w:jc w:val="both"/>
        <w:rPr>
          <w:rFonts w:ascii="Arial" w:hAnsi="Arial" w:cs="Arial"/>
          <w:sz w:val="22"/>
          <w:szCs w:val="22"/>
        </w:rPr>
      </w:pPr>
      <w:r w:rsidRPr="00265259">
        <w:rPr>
          <w:rFonts w:ascii="Arial" w:hAnsi="Arial" w:cs="Arial"/>
          <w:sz w:val="22"/>
          <w:szCs w:val="22"/>
        </w:rPr>
        <w:t>Translating GDP and airline TCR standards into lane qualification and documentation controls safeguarding product integrity while enabling cost-effective sea shipment.</w:t>
      </w:r>
    </w:p>
    <w:p w14:paraId="0654EF67" w14:textId="77777777" w:rsidR="00FC2AEB" w:rsidRPr="00265259" w:rsidRDefault="00FC2AEB" w:rsidP="00265259">
      <w:pPr>
        <w:numPr>
          <w:ilvl w:val="0"/>
          <w:numId w:val="3"/>
        </w:numPr>
        <w:tabs>
          <w:tab w:val="clear" w:pos="720"/>
        </w:tabs>
        <w:spacing w:after="120" w:line="276" w:lineRule="auto"/>
        <w:ind w:left="360"/>
        <w:jc w:val="both"/>
        <w:rPr>
          <w:rFonts w:ascii="Arial" w:hAnsi="Arial" w:cs="Arial"/>
          <w:sz w:val="22"/>
          <w:szCs w:val="22"/>
        </w:rPr>
      </w:pPr>
      <w:r w:rsidRPr="00265259">
        <w:rPr>
          <w:rFonts w:ascii="Arial" w:hAnsi="Arial" w:cs="Arial"/>
          <w:sz w:val="22"/>
          <w:szCs w:val="22"/>
        </w:rPr>
        <w:t>Designing comprehensive KPI dashboards that visualize QC TAT distributions and correlate them with mode selection, demurrage costs, and payload metrics.</w:t>
      </w:r>
    </w:p>
    <w:p w14:paraId="0370F6F2" w14:textId="77777777" w:rsidR="00FC2AEB" w:rsidRPr="00265259" w:rsidRDefault="00FC2AEB" w:rsidP="00265259">
      <w:pPr>
        <w:numPr>
          <w:ilvl w:val="0"/>
          <w:numId w:val="3"/>
        </w:numPr>
        <w:tabs>
          <w:tab w:val="clear" w:pos="720"/>
        </w:tabs>
        <w:spacing w:after="120" w:line="276" w:lineRule="auto"/>
        <w:ind w:left="360"/>
        <w:jc w:val="both"/>
        <w:rPr>
          <w:rFonts w:ascii="Arial" w:hAnsi="Arial" w:cs="Arial"/>
          <w:sz w:val="22"/>
          <w:szCs w:val="22"/>
        </w:rPr>
      </w:pPr>
      <w:r w:rsidRPr="00265259">
        <w:rPr>
          <w:rFonts w:ascii="Arial" w:hAnsi="Arial" w:cs="Arial"/>
          <w:sz w:val="22"/>
          <w:szCs w:val="22"/>
        </w:rPr>
        <w:t>Developing risk-based mode policies and operational playbooks defining escalation paths, accountability, and continuous improvement routines.</w:t>
      </w:r>
    </w:p>
    <w:p w14:paraId="65C47924" w14:textId="1B24B8BD" w:rsidR="00FC2AEB" w:rsidRPr="00265259" w:rsidRDefault="00FC2AEB" w:rsidP="00265259">
      <w:pPr>
        <w:spacing w:after="120" w:line="276" w:lineRule="auto"/>
        <w:ind w:firstLine="720"/>
        <w:jc w:val="both"/>
        <w:rPr>
          <w:rFonts w:ascii="Arial" w:hAnsi="Arial" w:cs="Arial"/>
          <w:sz w:val="22"/>
          <w:szCs w:val="22"/>
        </w:rPr>
      </w:pPr>
      <w:r w:rsidRPr="00265259">
        <w:rPr>
          <w:rFonts w:ascii="Arial" w:hAnsi="Arial" w:cs="Arial"/>
          <w:sz w:val="22"/>
          <w:szCs w:val="22"/>
        </w:rPr>
        <w:t>Students produce artifacts including risk policies, operational dashboards, and cadence plans connecting operational discipline with financial and sustainability outcomes.</w:t>
      </w:r>
    </w:p>
    <w:p w14:paraId="3D6853E9" w14:textId="77777777" w:rsidR="00FC2AEB" w:rsidRPr="00265259" w:rsidRDefault="00FC2AEB" w:rsidP="00265259">
      <w:pPr>
        <w:spacing w:after="120" w:line="276" w:lineRule="auto"/>
        <w:jc w:val="center"/>
        <w:rPr>
          <w:rFonts w:ascii="Arial" w:hAnsi="Arial" w:cs="Arial"/>
          <w:b/>
          <w:bCs/>
          <w:caps/>
          <w:sz w:val="22"/>
          <w:szCs w:val="22"/>
        </w:rPr>
      </w:pPr>
      <w:r w:rsidRPr="00265259">
        <w:rPr>
          <w:rFonts w:ascii="Arial" w:hAnsi="Arial" w:cs="Arial"/>
          <w:b/>
          <w:bCs/>
          <w:caps/>
          <w:sz w:val="22"/>
          <w:szCs w:val="22"/>
        </w:rPr>
        <w:t>Conclusion</w:t>
      </w:r>
    </w:p>
    <w:p w14:paraId="7918CF61" w14:textId="77777777" w:rsidR="00BE4340" w:rsidRPr="00265259" w:rsidRDefault="00BE4340" w:rsidP="00265259">
      <w:pPr>
        <w:spacing w:after="120" w:line="276" w:lineRule="auto"/>
        <w:ind w:firstLine="720"/>
        <w:jc w:val="both"/>
        <w:rPr>
          <w:rFonts w:ascii="Arial" w:hAnsi="Arial" w:cs="Arial"/>
          <w:sz w:val="22"/>
          <w:szCs w:val="22"/>
        </w:rPr>
      </w:pPr>
      <w:r w:rsidRPr="00265259">
        <w:rPr>
          <w:rFonts w:ascii="Arial" w:hAnsi="Arial" w:cs="Arial"/>
          <w:sz w:val="22"/>
          <w:szCs w:val="22"/>
        </w:rPr>
        <w:t xml:space="preserve">Optimizing shipment modes in pharmaceutical supply chains is basically a problem with the reliability of quality systems. Companies can slowly move transport volumes from expensive air freight back to sensitive and viable sea routes without weakening assurance or </w:t>
      </w:r>
      <w:r w:rsidRPr="00265259">
        <w:rPr>
          <w:rFonts w:ascii="Arial" w:hAnsi="Arial" w:cs="Arial"/>
          <w:sz w:val="22"/>
          <w:szCs w:val="22"/>
        </w:rPr>
        <w:lastRenderedPageBreak/>
        <w:t xml:space="preserve">compliance by lowering release time variance, syncing quality gates with shipment cut-offs, and qualifying sea lanes through strong governance. </w:t>
      </w:r>
    </w:p>
    <w:p w14:paraId="2B4C0C63" w14:textId="360857B0" w:rsidR="00BE4340" w:rsidRPr="00265259" w:rsidRDefault="00BE4340" w:rsidP="00265259">
      <w:pPr>
        <w:spacing w:after="120" w:line="276" w:lineRule="auto"/>
        <w:ind w:firstLine="720"/>
        <w:jc w:val="both"/>
        <w:rPr>
          <w:rFonts w:ascii="Arial" w:hAnsi="Arial" w:cs="Arial"/>
          <w:sz w:val="22"/>
          <w:szCs w:val="22"/>
        </w:rPr>
      </w:pPr>
      <w:r w:rsidRPr="00265259">
        <w:rPr>
          <w:rFonts w:ascii="Arial" w:hAnsi="Arial" w:cs="Arial"/>
          <w:sz w:val="22"/>
          <w:szCs w:val="22"/>
        </w:rPr>
        <w:t>Adding GDP and ICH Q10 best practices to dashboards and tiered review cadences makes batch flows more predictable, makes better use of payloads, and helps with sustainability goals by lowering carbon exposure. Biocon can turn air freight use from an exception to a controlled norm by using codified risk policies, clear forward bookings, and shared KPIs. This will improve both the economy and the environment.</w:t>
      </w:r>
    </w:p>
    <w:p w14:paraId="3871791D" w14:textId="77777777" w:rsidR="00FC2AEB" w:rsidRPr="00265259" w:rsidRDefault="00FC2AEB" w:rsidP="00265259">
      <w:pPr>
        <w:spacing w:after="120" w:line="276" w:lineRule="auto"/>
        <w:jc w:val="center"/>
        <w:rPr>
          <w:rFonts w:ascii="Arial" w:hAnsi="Arial" w:cs="Arial"/>
          <w:b/>
          <w:bCs/>
          <w:caps/>
          <w:sz w:val="22"/>
          <w:szCs w:val="22"/>
        </w:rPr>
      </w:pPr>
      <w:r w:rsidRPr="00265259">
        <w:rPr>
          <w:rFonts w:ascii="Arial" w:hAnsi="Arial" w:cs="Arial"/>
          <w:b/>
          <w:bCs/>
          <w:caps/>
          <w:sz w:val="22"/>
          <w:szCs w:val="22"/>
        </w:rPr>
        <w:t>Case Questions</w:t>
      </w:r>
    </w:p>
    <w:p w14:paraId="7440329C" w14:textId="77777777" w:rsidR="00FC2AEB" w:rsidRPr="00265259" w:rsidRDefault="00FC2AEB" w:rsidP="00265259">
      <w:pPr>
        <w:numPr>
          <w:ilvl w:val="0"/>
          <w:numId w:val="4"/>
        </w:numPr>
        <w:tabs>
          <w:tab w:val="clear" w:pos="720"/>
        </w:tabs>
        <w:spacing w:after="120" w:line="276" w:lineRule="auto"/>
        <w:ind w:left="360"/>
        <w:jc w:val="both"/>
        <w:rPr>
          <w:rFonts w:ascii="Arial" w:hAnsi="Arial" w:cs="Arial"/>
          <w:sz w:val="22"/>
          <w:szCs w:val="22"/>
        </w:rPr>
      </w:pPr>
      <w:r w:rsidRPr="00265259">
        <w:rPr>
          <w:rFonts w:ascii="Arial" w:hAnsi="Arial" w:cs="Arial"/>
          <w:sz w:val="22"/>
          <w:szCs w:val="22"/>
        </w:rPr>
        <w:t>Design a QC-to-shipment dashboard: What data fields, update frequencies, and responsible owner actions would ensure informed, timely decision making?</w:t>
      </w:r>
    </w:p>
    <w:p w14:paraId="5DE28C25" w14:textId="77777777" w:rsidR="00FC2AEB" w:rsidRPr="00265259" w:rsidRDefault="00FC2AEB" w:rsidP="00265259">
      <w:pPr>
        <w:numPr>
          <w:ilvl w:val="0"/>
          <w:numId w:val="4"/>
        </w:numPr>
        <w:tabs>
          <w:tab w:val="clear" w:pos="720"/>
        </w:tabs>
        <w:spacing w:after="120" w:line="276" w:lineRule="auto"/>
        <w:ind w:left="360"/>
        <w:jc w:val="both"/>
        <w:rPr>
          <w:rFonts w:ascii="Arial" w:hAnsi="Arial" w:cs="Arial"/>
          <w:sz w:val="22"/>
          <w:szCs w:val="22"/>
        </w:rPr>
      </w:pPr>
      <w:r w:rsidRPr="00265259">
        <w:rPr>
          <w:rFonts w:ascii="Arial" w:hAnsi="Arial" w:cs="Arial"/>
          <w:sz w:val="22"/>
          <w:szCs w:val="22"/>
        </w:rPr>
        <w:t>Draft a risk-based shipment mode policy that links QC TAT distributions to air-vs-</w:t>
      </w:r>
      <w:proofErr w:type="spellStart"/>
      <w:r w:rsidRPr="00265259">
        <w:rPr>
          <w:rFonts w:ascii="Arial" w:hAnsi="Arial" w:cs="Arial"/>
          <w:sz w:val="22"/>
          <w:szCs w:val="22"/>
        </w:rPr>
        <w:t>sea</w:t>
      </w:r>
      <w:proofErr w:type="spellEnd"/>
      <w:r w:rsidRPr="00265259">
        <w:rPr>
          <w:rFonts w:ascii="Arial" w:hAnsi="Arial" w:cs="Arial"/>
          <w:sz w:val="22"/>
          <w:szCs w:val="22"/>
        </w:rPr>
        <w:t xml:space="preserve"> mode choice with clearly defined escalation thresholds.</w:t>
      </w:r>
    </w:p>
    <w:p w14:paraId="572762D9" w14:textId="77777777" w:rsidR="00FC2AEB" w:rsidRPr="00265259" w:rsidRDefault="00FC2AEB" w:rsidP="00265259">
      <w:pPr>
        <w:numPr>
          <w:ilvl w:val="0"/>
          <w:numId w:val="4"/>
        </w:numPr>
        <w:tabs>
          <w:tab w:val="clear" w:pos="720"/>
        </w:tabs>
        <w:spacing w:after="120" w:line="276" w:lineRule="auto"/>
        <w:ind w:left="360"/>
        <w:jc w:val="both"/>
        <w:rPr>
          <w:rFonts w:ascii="Arial" w:hAnsi="Arial" w:cs="Arial"/>
          <w:sz w:val="22"/>
          <w:szCs w:val="22"/>
        </w:rPr>
      </w:pPr>
      <w:r w:rsidRPr="00265259">
        <w:rPr>
          <w:rFonts w:ascii="Arial" w:hAnsi="Arial" w:cs="Arial"/>
          <w:sz w:val="22"/>
          <w:szCs w:val="22"/>
        </w:rPr>
        <w:t>Specify lane qualification and documentation controls that preserve GDP compliance while expanding sea freight eligibility.</w:t>
      </w:r>
    </w:p>
    <w:p w14:paraId="56CA456C" w14:textId="38F26552" w:rsidR="00FC2AEB" w:rsidRPr="00265259" w:rsidRDefault="00FC2AEB" w:rsidP="00265259">
      <w:pPr>
        <w:numPr>
          <w:ilvl w:val="0"/>
          <w:numId w:val="4"/>
        </w:numPr>
        <w:tabs>
          <w:tab w:val="clear" w:pos="720"/>
        </w:tabs>
        <w:spacing w:after="120" w:line="276" w:lineRule="auto"/>
        <w:ind w:left="360"/>
        <w:jc w:val="both"/>
        <w:rPr>
          <w:rFonts w:ascii="Arial" w:hAnsi="Arial" w:cs="Arial"/>
          <w:sz w:val="22"/>
          <w:szCs w:val="22"/>
        </w:rPr>
      </w:pPr>
      <w:r w:rsidRPr="00265259">
        <w:rPr>
          <w:rFonts w:ascii="Arial" w:hAnsi="Arial" w:cs="Arial"/>
          <w:sz w:val="22"/>
          <w:szCs w:val="22"/>
        </w:rPr>
        <w:t>Propose key KPIs and review routines that align QC, production planning, and forwarding teams around predictable release and mode-mix decisions.</w:t>
      </w:r>
    </w:p>
    <w:p w14:paraId="28D61CD9" w14:textId="60790CA1" w:rsidR="00FC2AEB" w:rsidRPr="00265259" w:rsidRDefault="00FC2AEB" w:rsidP="00265259">
      <w:pPr>
        <w:spacing w:after="120" w:line="276" w:lineRule="auto"/>
        <w:jc w:val="center"/>
        <w:rPr>
          <w:rFonts w:ascii="Arial" w:hAnsi="Arial" w:cs="Arial"/>
          <w:b/>
          <w:bCs/>
          <w:caps/>
          <w:sz w:val="22"/>
          <w:szCs w:val="22"/>
        </w:rPr>
      </w:pPr>
      <w:r w:rsidRPr="00265259">
        <w:rPr>
          <w:rFonts w:ascii="Arial" w:hAnsi="Arial" w:cs="Arial"/>
          <w:b/>
          <w:bCs/>
          <w:caps/>
          <w:sz w:val="22"/>
          <w:szCs w:val="22"/>
        </w:rPr>
        <w:t>References</w:t>
      </w:r>
    </w:p>
    <w:p w14:paraId="391D77CA" w14:textId="77777777" w:rsidR="00FC2AEB" w:rsidRPr="00265259" w:rsidRDefault="00FC2AEB" w:rsidP="00905DAA">
      <w:pPr>
        <w:spacing w:after="120" w:line="276" w:lineRule="auto"/>
        <w:ind w:left="720" w:hanging="630"/>
        <w:jc w:val="both"/>
        <w:rPr>
          <w:rFonts w:ascii="Arial" w:hAnsi="Arial" w:cs="Arial"/>
          <w:sz w:val="22"/>
          <w:szCs w:val="22"/>
        </w:rPr>
      </w:pPr>
      <w:proofErr w:type="spellStart"/>
      <w:r w:rsidRPr="00265259">
        <w:rPr>
          <w:rFonts w:ascii="Arial" w:hAnsi="Arial" w:cs="Arial"/>
          <w:sz w:val="22"/>
          <w:szCs w:val="22"/>
        </w:rPr>
        <w:t>Bhoomikaa</w:t>
      </w:r>
      <w:proofErr w:type="spellEnd"/>
      <w:r w:rsidRPr="00265259">
        <w:rPr>
          <w:rFonts w:ascii="Arial" w:hAnsi="Arial" w:cs="Arial"/>
          <w:sz w:val="22"/>
          <w:szCs w:val="22"/>
        </w:rPr>
        <w:t>, B. (2025). Optimizing shipment mode amid QC delays (Unpublished manuscript).</w:t>
      </w:r>
    </w:p>
    <w:p w14:paraId="3A895ABF" w14:textId="77777777" w:rsidR="00FC2AEB" w:rsidRPr="00265259" w:rsidRDefault="00FC2AEB" w:rsidP="00905DAA">
      <w:pPr>
        <w:spacing w:after="120" w:line="276" w:lineRule="auto"/>
        <w:ind w:left="720" w:hanging="630"/>
        <w:jc w:val="both"/>
        <w:rPr>
          <w:rFonts w:ascii="Arial" w:hAnsi="Arial" w:cs="Arial"/>
          <w:sz w:val="22"/>
          <w:szCs w:val="22"/>
        </w:rPr>
      </w:pPr>
      <w:r w:rsidRPr="00265259">
        <w:rPr>
          <w:rFonts w:ascii="Arial" w:hAnsi="Arial" w:cs="Arial"/>
          <w:sz w:val="22"/>
          <w:szCs w:val="22"/>
        </w:rPr>
        <w:t>European Commission. (2013). Guidelines on Good Distribution Practice of Medicinal Products for Human Use (2013/C 343/01). </w:t>
      </w:r>
      <w:hyperlink r:id="rId10" w:tgtFrame="_blank" w:history="1">
        <w:r w:rsidRPr="00265259">
          <w:rPr>
            <w:rStyle w:val="Hyperlink"/>
            <w:rFonts w:ascii="Arial" w:hAnsi="Arial" w:cs="Arial"/>
            <w:b/>
            <w:bCs/>
            <w:sz w:val="22"/>
            <w:szCs w:val="22"/>
          </w:rPr>
          <w:t>https://eur-lex.europa.eu</w:t>
        </w:r>
      </w:hyperlink>
    </w:p>
    <w:p w14:paraId="426B2D79" w14:textId="77777777" w:rsidR="00FC2AEB" w:rsidRPr="00265259" w:rsidRDefault="00FC2AEB" w:rsidP="00905DAA">
      <w:pPr>
        <w:spacing w:after="120" w:line="276" w:lineRule="auto"/>
        <w:ind w:left="720" w:hanging="630"/>
        <w:jc w:val="both"/>
        <w:rPr>
          <w:rFonts w:ascii="Arial" w:hAnsi="Arial" w:cs="Arial"/>
          <w:sz w:val="22"/>
          <w:szCs w:val="22"/>
        </w:rPr>
      </w:pPr>
      <w:r w:rsidRPr="00265259">
        <w:rPr>
          <w:rFonts w:ascii="Arial" w:hAnsi="Arial" w:cs="Arial"/>
          <w:sz w:val="22"/>
          <w:szCs w:val="22"/>
        </w:rPr>
        <w:t>International Air Transport Association (IATA). (2022). Temperature Control Regulations (TCR). </w:t>
      </w:r>
      <w:hyperlink r:id="rId11" w:tgtFrame="_blank" w:history="1">
        <w:r w:rsidRPr="00265259">
          <w:rPr>
            <w:rStyle w:val="Hyperlink"/>
            <w:rFonts w:ascii="Arial" w:hAnsi="Arial" w:cs="Arial"/>
            <w:b/>
            <w:bCs/>
            <w:sz w:val="22"/>
            <w:szCs w:val="22"/>
          </w:rPr>
          <w:t>https://www.iata.org</w:t>
        </w:r>
      </w:hyperlink>
    </w:p>
    <w:p w14:paraId="24BC5DDD" w14:textId="77777777" w:rsidR="00FC2AEB" w:rsidRPr="00265259" w:rsidRDefault="00FC2AEB" w:rsidP="00905DAA">
      <w:pPr>
        <w:spacing w:after="120" w:line="276" w:lineRule="auto"/>
        <w:ind w:left="720" w:hanging="630"/>
        <w:jc w:val="both"/>
        <w:rPr>
          <w:rFonts w:ascii="Arial" w:hAnsi="Arial" w:cs="Arial"/>
          <w:sz w:val="22"/>
          <w:szCs w:val="22"/>
        </w:rPr>
      </w:pPr>
      <w:r w:rsidRPr="00265259">
        <w:rPr>
          <w:rFonts w:ascii="Arial" w:hAnsi="Arial" w:cs="Arial"/>
          <w:sz w:val="22"/>
          <w:szCs w:val="22"/>
        </w:rPr>
        <w:t>U.S. Food and Drug Administration (FDA). (2023). Current Good Manufacturing Practice (cGMP) regulations. </w:t>
      </w:r>
      <w:hyperlink r:id="rId12" w:tgtFrame="_blank" w:history="1">
        <w:r w:rsidRPr="00265259">
          <w:rPr>
            <w:rStyle w:val="Hyperlink"/>
            <w:rFonts w:ascii="Arial" w:hAnsi="Arial" w:cs="Arial"/>
            <w:b/>
            <w:bCs/>
            <w:sz w:val="22"/>
            <w:szCs w:val="22"/>
          </w:rPr>
          <w:t>https://www.fda.gov</w:t>
        </w:r>
      </w:hyperlink>
    </w:p>
    <w:p w14:paraId="6969B821" w14:textId="77777777" w:rsidR="00FC2AEB" w:rsidRPr="00265259" w:rsidRDefault="00FC2AEB" w:rsidP="00905DAA">
      <w:pPr>
        <w:spacing w:after="120" w:line="276" w:lineRule="auto"/>
        <w:ind w:left="720" w:hanging="630"/>
        <w:jc w:val="both"/>
        <w:rPr>
          <w:rFonts w:ascii="Arial" w:hAnsi="Arial" w:cs="Arial"/>
          <w:sz w:val="22"/>
          <w:szCs w:val="22"/>
        </w:rPr>
      </w:pPr>
      <w:r w:rsidRPr="00265259">
        <w:rPr>
          <w:rFonts w:ascii="Arial" w:hAnsi="Arial" w:cs="Arial"/>
          <w:sz w:val="22"/>
          <w:szCs w:val="22"/>
        </w:rPr>
        <w:t>World Health Organization (WHO). (2023). Pharmaceutical Quality Assurance Guidelines. </w:t>
      </w:r>
      <w:hyperlink r:id="rId13" w:tgtFrame="_blank" w:history="1">
        <w:r w:rsidRPr="00265259">
          <w:rPr>
            <w:rStyle w:val="Hyperlink"/>
            <w:rFonts w:ascii="Arial" w:hAnsi="Arial" w:cs="Arial"/>
            <w:b/>
            <w:bCs/>
            <w:sz w:val="22"/>
            <w:szCs w:val="22"/>
          </w:rPr>
          <w:t>https://www.who.int</w:t>
        </w:r>
      </w:hyperlink>
    </w:p>
    <w:p w14:paraId="17C9C9D2" w14:textId="77777777" w:rsidR="00FC2AEB" w:rsidRDefault="00FC2AEB" w:rsidP="00905DAA">
      <w:pPr>
        <w:spacing w:after="120" w:line="276" w:lineRule="auto"/>
        <w:ind w:left="720" w:hanging="630"/>
        <w:jc w:val="both"/>
        <w:rPr>
          <w:rFonts w:ascii="Arial" w:hAnsi="Arial" w:cs="Arial"/>
          <w:sz w:val="22"/>
          <w:szCs w:val="22"/>
        </w:rPr>
      </w:pPr>
      <w:r w:rsidRPr="00265259">
        <w:rPr>
          <w:rFonts w:ascii="Arial" w:hAnsi="Arial" w:cs="Arial"/>
          <w:sz w:val="22"/>
          <w:szCs w:val="22"/>
        </w:rPr>
        <w:t>International Council for Harmonisation (ICH). (2022). Guideline Q10 Pharmaceutical Quality System. </w:t>
      </w:r>
      <w:hyperlink r:id="rId14" w:tgtFrame="_blank" w:history="1">
        <w:r w:rsidRPr="00265259">
          <w:rPr>
            <w:rStyle w:val="Hyperlink"/>
            <w:rFonts w:ascii="Arial" w:hAnsi="Arial" w:cs="Arial"/>
            <w:b/>
            <w:bCs/>
            <w:sz w:val="22"/>
            <w:szCs w:val="22"/>
          </w:rPr>
          <w:t>https://www.ich.org</w:t>
        </w:r>
      </w:hyperlink>
    </w:p>
    <w:p w14:paraId="553278A1" w14:textId="77777777" w:rsidR="00265259" w:rsidRDefault="00265259" w:rsidP="00905DAA">
      <w:pPr>
        <w:spacing w:after="120" w:line="276" w:lineRule="auto"/>
        <w:ind w:left="720" w:hanging="630"/>
        <w:jc w:val="both"/>
        <w:rPr>
          <w:rFonts w:ascii="Arial" w:hAnsi="Arial" w:cs="Arial"/>
          <w:sz w:val="22"/>
          <w:szCs w:val="22"/>
        </w:rPr>
      </w:pPr>
    </w:p>
    <w:p w14:paraId="38C5F38A" w14:textId="77777777" w:rsidR="00265259" w:rsidRDefault="00265259" w:rsidP="00265259">
      <w:pPr>
        <w:spacing w:after="120" w:line="276" w:lineRule="auto"/>
        <w:jc w:val="both"/>
        <w:rPr>
          <w:rFonts w:ascii="Arial" w:hAnsi="Arial" w:cs="Arial"/>
          <w:sz w:val="22"/>
          <w:szCs w:val="22"/>
        </w:rPr>
      </w:pPr>
    </w:p>
    <w:p w14:paraId="762E6D43" w14:textId="77777777" w:rsidR="00265259" w:rsidRDefault="00265259" w:rsidP="00265259">
      <w:pPr>
        <w:spacing w:after="120" w:line="276" w:lineRule="auto"/>
        <w:jc w:val="both"/>
        <w:rPr>
          <w:rFonts w:ascii="Arial" w:hAnsi="Arial" w:cs="Arial"/>
          <w:sz w:val="22"/>
          <w:szCs w:val="22"/>
        </w:rPr>
      </w:pPr>
    </w:p>
    <w:p w14:paraId="41B51F92" w14:textId="77777777" w:rsidR="00265259" w:rsidRDefault="00265259" w:rsidP="00265259">
      <w:pPr>
        <w:spacing w:after="120" w:line="276" w:lineRule="auto"/>
        <w:jc w:val="both"/>
        <w:rPr>
          <w:rFonts w:ascii="Arial" w:hAnsi="Arial" w:cs="Arial"/>
          <w:sz w:val="22"/>
          <w:szCs w:val="22"/>
        </w:rPr>
      </w:pPr>
    </w:p>
    <w:p w14:paraId="27D60468" w14:textId="77777777" w:rsidR="00265259" w:rsidRDefault="00265259" w:rsidP="00265259">
      <w:pPr>
        <w:spacing w:after="120" w:line="276" w:lineRule="auto"/>
        <w:jc w:val="both"/>
        <w:rPr>
          <w:rFonts w:ascii="Arial" w:hAnsi="Arial" w:cs="Arial"/>
          <w:sz w:val="22"/>
          <w:szCs w:val="22"/>
        </w:rPr>
      </w:pPr>
    </w:p>
    <w:p w14:paraId="70B69F04" w14:textId="77777777" w:rsidR="00265259" w:rsidRDefault="00265259" w:rsidP="00265259">
      <w:pPr>
        <w:spacing w:after="120" w:line="276" w:lineRule="auto"/>
        <w:jc w:val="both"/>
        <w:rPr>
          <w:rFonts w:ascii="Arial" w:hAnsi="Arial" w:cs="Arial"/>
          <w:sz w:val="22"/>
          <w:szCs w:val="22"/>
        </w:rPr>
      </w:pPr>
    </w:p>
    <w:p w14:paraId="685BA1B9" w14:textId="77777777" w:rsidR="00265259" w:rsidRDefault="00265259" w:rsidP="00265259">
      <w:pPr>
        <w:spacing w:after="120" w:line="276" w:lineRule="auto"/>
        <w:jc w:val="both"/>
        <w:rPr>
          <w:rFonts w:ascii="Arial" w:hAnsi="Arial" w:cs="Arial"/>
          <w:sz w:val="22"/>
          <w:szCs w:val="22"/>
        </w:rPr>
      </w:pPr>
    </w:p>
    <w:p w14:paraId="3729A2F7" w14:textId="77777777" w:rsidR="00265259" w:rsidRDefault="00265259" w:rsidP="00265259">
      <w:pPr>
        <w:spacing w:after="120" w:line="276" w:lineRule="auto"/>
        <w:jc w:val="both"/>
        <w:rPr>
          <w:rFonts w:ascii="Arial" w:hAnsi="Arial" w:cs="Arial"/>
          <w:sz w:val="22"/>
          <w:szCs w:val="22"/>
        </w:rPr>
      </w:pPr>
    </w:p>
    <w:p w14:paraId="4E973F5B" w14:textId="77777777" w:rsidR="00265259" w:rsidRDefault="00265259" w:rsidP="00265259">
      <w:pPr>
        <w:spacing w:after="120" w:line="276" w:lineRule="auto"/>
        <w:jc w:val="both"/>
        <w:rPr>
          <w:rFonts w:ascii="Arial" w:hAnsi="Arial" w:cs="Arial"/>
          <w:sz w:val="22"/>
          <w:szCs w:val="22"/>
        </w:rPr>
      </w:pPr>
    </w:p>
    <w:p w14:paraId="41D8A7F6" w14:textId="77777777" w:rsidR="00265259" w:rsidRDefault="00265259" w:rsidP="00265259">
      <w:pPr>
        <w:spacing w:after="120" w:line="276" w:lineRule="auto"/>
        <w:jc w:val="both"/>
        <w:rPr>
          <w:rFonts w:ascii="Arial" w:hAnsi="Arial" w:cs="Arial"/>
          <w:sz w:val="22"/>
          <w:szCs w:val="22"/>
        </w:rPr>
      </w:pPr>
    </w:p>
    <w:p w14:paraId="198121C9" w14:textId="77777777" w:rsidR="00265259" w:rsidRDefault="00265259" w:rsidP="00265259">
      <w:pPr>
        <w:spacing w:after="120" w:line="276" w:lineRule="auto"/>
        <w:jc w:val="both"/>
        <w:rPr>
          <w:rFonts w:ascii="Arial" w:hAnsi="Arial" w:cs="Arial"/>
          <w:sz w:val="22"/>
          <w:szCs w:val="22"/>
        </w:rPr>
      </w:pPr>
    </w:p>
    <w:p w14:paraId="531244D9" w14:textId="77777777" w:rsidR="00265259" w:rsidRDefault="00265259" w:rsidP="00265259">
      <w:pPr>
        <w:spacing w:after="120" w:line="276" w:lineRule="auto"/>
        <w:jc w:val="both"/>
        <w:rPr>
          <w:rFonts w:ascii="Arial" w:hAnsi="Arial" w:cs="Arial"/>
          <w:sz w:val="22"/>
          <w:szCs w:val="22"/>
        </w:rPr>
      </w:pPr>
    </w:p>
    <w:p w14:paraId="26F34FBD" w14:textId="77777777" w:rsidR="00265259" w:rsidRPr="00265259" w:rsidRDefault="00265259" w:rsidP="00265259">
      <w:pPr>
        <w:spacing w:after="120" w:line="276" w:lineRule="auto"/>
        <w:jc w:val="both"/>
        <w:rPr>
          <w:rFonts w:ascii="Arial" w:hAnsi="Arial" w:cs="Arial"/>
          <w:sz w:val="22"/>
          <w:szCs w:val="22"/>
        </w:rPr>
      </w:pPr>
    </w:p>
    <w:p w14:paraId="5B136AC6" w14:textId="77777777" w:rsidR="00265259" w:rsidRDefault="00265259" w:rsidP="00FC2AEB">
      <w:pPr>
        <w:jc w:val="both"/>
        <w:rPr>
          <w:rFonts w:ascii="Times New Roman" w:hAnsi="Times New Roman" w:cs="Times New Roman"/>
        </w:rPr>
      </w:pPr>
    </w:p>
    <w:p w14:paraId="3B756D37" w14:textId="77777777" w:rsidR="00265259" w:rsidRDefault="00265259" w:rsidP="00FC2AEB">
      <w:pPr>
        <w:jc w:val="both"/>
        <w:rPr>
          <w:rFonts w:ascii="Times New Roman" w:hAnsi="Times New Roman" w:cs="Times New Roman"/>
        </w:rPr>
      </w:pPr>
    </w:p>
    <w:p w14:paraId="469ABD95" w14:textId="77777777" w:rsidR="00265259" w:rsidRDefault="00265259" w:rsidP="00FC2AEB">
      <w:pPr>
        <w:jc w:val="both"/>
        <w:rPr>
          <w:rFonts w:ascii="Times New Roman" w:hAnsi="Times New Roman" w:cs="Times New Roman"/>
        </w:rPr>
      </w:pPr>
    </w:p>
    <w:p w14:paraId="5FA8FA06" w14:textId="77777777" w:rsidR="00265259" w:rsidRDefault="00265259" w:rsidP="00FC2AEB">
      <w:pPr>
        <w:jc w:val="both"/>
        <w:rPr>
          <w:rFonts w:ascii="Times New Roman" w:hAnsi="Times New Roman" w:cs="Times New Roman"/>
        </w:rPr>
      </w:pPr>
    </w:p>
    <w:p w14:paraId="5CF58E09" w14:textId="77777777" w:rsidR="00265259" w:rsidRDefault="00265259" w:rsidP="00FC2AEB">
      <w:pPr>
        <w:jc w:val="both"/>
        <w:rPr>
          <w:rFonts w:ascii="Times New Roman" w:hAnsi="Times New Roman" w:cs="Times New Roman"/>
        </w:rPr>
      </w:pPr>
    </w:p>
    <w:p w14:paraId="48255287" w14:textId="77777777" w:rsidR="00265259" w:rsidRDefault="00265259" w:rsidP="00FC2AEB">
      <w:pPr>
        <w:jc w:val="both"/>
        <w:rPr>
          <w:rFonts w:ascii="Times New Roman" w:hAnsi="Times New Roman" w:cs="Times New Roman"/>
        </w:rPr>
      </w:pPr>
    </w:p>
    <w:p w14:paraId="7A39362C" w14:textId="77777777" w:rsidR="00265259" w:rsidRDefault="00265259" w:rsidP="00FC2AEB">
      <w:pPr>
        <w:jc w:val="both"/>
        <w:rPr>
          <w:rFonts w:ascii="Times New Roman" w:hAnsi="Times New Roman" w:cs="Times New Roman"/>
        </w:rPr>
        <w:sectPr w:rsidR="00265259" w:rsidSect="00265259">
          <w:type w:val="continuous"/>
          <w:pgSz w:w="11906" w:h="16838" w:code="9"/>
          <w:pgMar w:top="1440" w:right="1440" w:bottom="1440" w:left="1440" w:header="1008" w:footer="720" w:gutter="0"/>
          <w:cols w:num="2" w:space="708"/>
          <w:docGrid w:linePitch="360"/>
        </w:sectPr>
      </w:pPr>
    </w:p>
    <w:p w14:paraId="38303134" w14:textId="77777777" w:rsidR="00003B79" w:rsidRPr="00FC2AEB" w:rsidRDefault="00003B79" w:rsidP="00265259">
      <w:pPr>
        <w:jc w:val="both"/>
        <w:rPr>
          <w:rFonts w:ascii="Times New Roman" w:hAnsi="Times New Roman" w:cs="Times New Roman"/>
        </w:rPr>
      </w:pPr>
    </w:p>
    <w:sectPr w:rsidR="00003B79" w:rsidRPr="00FC2AEB" w:rsidSect="00265259">
      <w:type w:val="continuous"/>
      <w:pgSz w:w="11906" w:h="16838" w:code="9"/>
      <w:pgMar w:top="1440" w:right="1440" w:bottom="1440" w:left="1440" w:header="1008"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4B17A" w14:textId="77777777" w:rsidR="00C2001A" w:rsidRDefault="00C2001A" w:rsidP="001242A3">
      <w:pPr>
        <w:spacing w:after="0" w:line="240" w:lineRule="auto"/>
      </w:pPr>
      <w:r>
        <w:separator/>
      </w:r>
    </w:p>
  </w:endnote>
  <w:endnote w:type="continuationSeparator" w:id="0">
    <w:p w14:paraId="3EDCFDED" w14:textId="77777777" w:rsidR="00C2001A" w:rsidRDefault="00C2001A" w:rsidP="00124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F73F7" w14:textId="77777777" w:rsidR="00C2001A" w:rsidRDefault="00C2001A" w:rsidP="001242A3">
      <w:pPr>
        <w:spacing w:after="0" w:line="240" w:lineRule="auto"/>
      </w:pPr>
      <w:r>
        <w:separator/>
      </w:r>
    </w:p>
  </w:footnote>
  <w:footnote w:type="continuationSeparator" w:id="0">
    <w:p w14:paraId="4A79A6F2" w14:textId="77777777" w:rsidR="00C2001A" w:rsidRDefault="00C2001A" w:rsidP="001242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25A00" w14:textId="0448DC7C" w:rsidR="001242A3" w:rsidRPr="004E23F6" w:rsidRDefault="004E23F6" w:rsidP="004E23F6">
    <w:pPr>
      <w:pBdr>
        <w:bottom w:val="single" w:sz="4" w:space="1" w:color="auto"/>
      </w:pBdr>
      <w:spacing w:after="0" w:line="160" w:lineRule="atLeast"/>
      <w:jc w:val="both"/>
    </w:pPr>
    <w:r w:rsidRPr="00B62BAE">
      <w:rPr>
        <w:rFonts w:ascii="Arial" w:hAnsi="Arial" w:cs="Arial"/>
        <w:sz w:val="16"/>
        <w:szCs w:val="16"/>
      </w:rPr>
      <w:t>20</w:t>
    </w:r>
    <w:r>
      <w:rPr>
        <w:rFonts w:ascii="Arial" w:hAnsi="Arial" w:cs="Arial"/>
        <w:sz w:val="16"/>
        <w:szCs w:val="16"/>
      </w:rPr>
      <w:t>25</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proofErr w:type="spellStart"/>
    <w:r>
      <w:rPr>
        <w:rFonts w:ascii="Arial" w:hAnsi="Arial" w:cs="Arial"/>
        <w:i/>
        <w:iCs/>
        <w:sz w:val="16"/>
        <w:szCs w:val="16"/>
      </w:rPr>
      <w:t>Bhoomikaa</w:t>
    </w:r>
    <w:proofErr w:type="spellEnd"/>
    <w:r>
      <w:rPr>
        <w:rFonts w:ascii="Arial" w:hAnsi="Arial" w:cs="Arial"/>
        <w:i/>
        <w:iCs/>
        <w:sz w:val="16"/>
        <w:szCs w:val="16"/>
      </w:rPr>
      <w:t xml:space="preserve"> B, Vinoth Kumar V</w:t>
    </w:r>
    <w:r w:rsidRPr="00B62BAE">
      <w:rPr>
        <w:rFonts w:ascii="Arial" w:hAnsi="Arial" w:cs="Arial"/>
        <w:sz w:val="16"/>
        <w:szCs w:val="16"/>
      </w:rPr>
      <w:t xml:space="preserve">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sidR="00B96C68">
      <w:rPr>
        <w:rFonts w:ascii="Arial" w:hAnsi="Arial" w:cs="Arial"/>
        <w:noProof/>
        <w:sz w:val="16"/>
        <w:szCs w:val="16"/>
      </w:rPr>
      <w:t>42</w:t>
    </w:r>
    <w:r w:rsidRPr="00B62BAE">
      <w:rPr>
        <w:rFonts w:ascii="Arial" w:hAnsi="Arial" w:cs="Arial"/>
        <w:noProof/>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80952" w14:textId="67053C62" w:rsidR="001242A3" w:rsidRPr="004E23F6" w:rsidRDefault="004E23F6" w:rsidP="004E23F6">
    <w:pPr>
      <w:pBdr>
        <w:bottom w:val="single" w:sz="4" w:space="1" w:color="auto"/>
      </w:pBdr>
      <w:spacing w:after="0" w:line="160" w:lineRule="atLeast"/>
      <w:jc w:val="both"/>
      <w:rPr>
        <w:rFonts w:ascii="Arial" w:hAnsi="Arial" w:cs="Arial"/>
        <w:sz w:val="16"/>
        <w:szCs w:val="16"/>
      </w:rPr>
    </w:pP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sidR="00B96C68">
      <w:rPr>
        <w:rFonts w:ascii="Arial" w:hAnsi="Arial" w:cs="Arial"/>
        <w:noProof/>
        <w:sz w:val="16"/>
        <w:szCs w:val="16"/>
      </w:rPr>
      <w:t>43</w:t>
    </w:r>
    <w:r w:rsidRPr="00B62BAE">
      <w:rPr>
        <w:rFonts w:ascii="Arial" w:hAnsi="Arial" w:cs="Arial"/>
        <w:noProof/>
        <w:sz w:val="16"/>
        <w:szCs w:val="16"/>
      </w:rPr>
      <w:fldChar w:fldCharType="end"/>
    </w:r>
    <w:r w:rsidRPr="00B62BAE">
      <w:rPr>
        <w:rFonts w:ascii="Arial" w:hAnsi="Arial" w:cs="Arial"/>
        <w:noProof/>
        <w:sz w:val="16"/>
        <w:szCs w:val="16"/>
      </w:rPr>
      <w:tab/>
    </w:r>
    <w:r>
      <w:rPr>
        <w:rFonts w:ascii="Arial" w:hAnsi="Arial" w:cs="Arial"/>
        <w:noProof/>
        <w:sz w:val="16"/>
        <w:szCs w:val="16"/>
      </w:rPr>
      <w:tab/>
      <w:t xml:space="preserve">   </w:t>
    </w:r>
    <w:r w:rsidRPr="00B62BAE">
      <w:rPr>
        <w:rFonts w:ascii="Arial" w:eastAsia="Arial" w:hAnsi="Arial" w:cs="Arial"/>
        <w:i/>
        <w:color w:val="000000"/>
        <w:sz w:val="16"/>
        <w:szCs w:val="16"/>
      </w:rPr>
      <w:t>International</w:t>
    </w:r>
    <w:r w:rsidRPr="00B62BAE">
      <w:rPr>
        <w:rFonts w:ascii="Arial" w:eastAsia="Arial" w:hAnsi="Arial" w:cs="Arial"/>
        <w:i/>
        <w:color w:val="000000"/>
        <w:spacing w:val="-1"/>
        <w:sz w:val="16"/>
        <w:szCs w:val="16"/>
      </w:rPr>
      <w:t xml:space="preserve"> Academic Research Journal of Business and Management</w:t>
    </w:r>
    <w:r w:rsidRPr="00B62BAE">
      <w:rPr>
        <w:rFonts w:ascii="Arial" w:eastAsia="Arial" w:hAnsi="Arial" w:cs="Arial"/>
        <w:i/>
        <w:color w:val="000000"/>
        <w:spacing w:val="-1"/>
        <w:sz w:val="16"/>
        <w:szCs w:val="16"/>
      </w:rPr>
      <w:tab/>
    </w:r>
    <w:r w:rsidRPr="00B62BAE">
      <w:rPr>
        <w:rFonts w:ascii="Arial" w:eastAsia="Arial" w:hAnsi="Arial" w:cs="Arial"/>
        <w:i/>
        <w:color w:val="000000"/>
        <w:spacing w:val="-1"/>
        <w:sz w:val="16"/>
        <w:szCs w:val="16"/>
      </w:rPr>
      <w:tab/>
    </w:r>
    <w:r w:rsidR="00B96C68">
      <w:rPr>
        <w:rFonts w:ascii="Arial" w:eastAsia="Arial" w:hAnsi="Arial" w:cs="Arial"/>
        <w:i/>
        <w:color w:val="000000"/>
        <w:spacing w:val="-1"/>
        <w:sz w:val="16"/>
        <w:szCs w:val="16"/>
      </w:rPr>
      <w:t xml:space="preserve">       Dec</w:t>
    </w:r>
    <w:r>
      <w:rPr>
        <w:rFonts w:ascii="Arial" w:eastAsia="Arial" w:hAnsi="Arial" w:cs="Arial"/>
        <w:i/>
        <w:color w:val="000000"/>
        <w:spacing w:val="-1"/>
        <w:sz w:val="16"/>
        <w:szCs w:val="16"/>
      </w:rPr>
      <w:t xml:space="preserve">ember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55968"/>
    <w:multiLevelType w:val="multilevel"/>
    <w:tmpl w:val="66786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CB41FA8"/>
    <w:multiLevelType w:val="multilevel"/>
    <w:tmpl w:val="55505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6A87A86"/>
    <w:multiLevelType w:val="multilevel"/>
    <w:tmpl w:val="94421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BE1559F"/>
    <w:multiLevelType w:val="multilevel"/>
    <w:tmpl w:val="11101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C7D4C54"/>
    <w:multiLevelType w:val="multilevel"/>
    <w:tmpl w:val="0CE05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08673973">
    <w:abstractNumId w:val="3"/>
  </w:num>
  <w:num w:numId="2" w16cid:durableId="783498403">
    <w:abstractNumId w:val="1"/>
  </w:num>
  <w:num w:numId="3" w16cid:durableId="1516963415">
    <w:abstractNumId w:val="2"/>
  </w:num>
  <w:num w:numId="4" w16cid:durableId="1005672076">
    <w:abstractNumId w:val="4"/>
  </w:num>
  <w:num w:numId="5" w16cid:durableId="785268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17C"/>
    <w:rsid w:val="00003B79"/>
    <w:rsid w:val="00047D28"/>
    <w:rsid w:val="00096C7D"/>
    <w:rsid w:val="000D35F4"/>
    <w:rsid w:val="00106E4C"/>
    <w:rsid w:val="001242A3"/>
    <w:rsid w:val="001F7C6C"/>
    <w:rsid w:val="00230FA3"/>
    <w:rsid w:val="00265259"/>
    <w:rsid w:val="00483141"/>
    <w:rsid w:val="004C56BD"/>
    <w:rsid w:val="004D0D9E"/>
    <w:rsid w:val="004D3782"/>
    <w:rsid w:val="004E23F6"/>
    <w:rsid w:val="00503DED"/>
    <w:rsid w:val="005E47D0"/>
    <w:rsid w:val="00616BD4"/>
    <w:rsid w:val="00764A1C"/>
    <w:rsid w:val="007A07A3"/>
    <w:rsid w:val="007C6427"/>
    <w:rsid w:val="007E0FCD"/>
    <w:rsid w:val="00905DAA"/>
    <w:rsid w:val="009414B1"/>
    <w:rsid w:val="009E7A7D"/>
    <w:rsid w:val="00AB60CC"/>
    <w:rsid w:val="00B44649"/>
    <w:rsid w:val="00B96C68"/>
    <w:rsid w:val="00BE4340"/>
    <w:rsid w:val="00C2001A"/>
    <w:rsid w:val="00C9754D"/>
    <w:rsid w:val="00CC4364"/>
    <w:rsid w:val="00D27B34"/>
    <w:rsid w:val="00DC0263"/>
    <w:rsid w:val="00DC417C"/>
    <w:rsid w:val="00E755B3"/>
    <w:rsid w:val="00E841FE"/>
    <w:rsid w:val="00EA664E"/>
    <w:rsid w:val="00F35E60"/>
    <w:rsid w:val="00F95D91"/>
    <w:rsid w:val="00FC2AEB"/>
  </w:rsids>
  <m:mathPr>
    <m:mathFont m:val="Cambria Math"/>
    <m:brkBin m:val="before"/>
    <m:brkBinSub m:val="--"/>
    <m:smallFrac m:val="0"/>
    <m:dispDef/>
    <m:lMargin m:val="0"/>
    <m:rMargin m:val="0"/>
    <m:defJc m:val="centerGroup"/>
    <m:wrapIndent m:val="1440"/>
    <m:intLim m:val="subSup"/>
    <m:naryLim m:val="undOvr"/>
  </m:mathPr>
  <w:themeFontLang w:val="en-I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DA25D"/>
  <w15:chartTrackingRefBased/>
  <w15:docId w15:val="{BF681408-6554-42E0-8426-AEADADE60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41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41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41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41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41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41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41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41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41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41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41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41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41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41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41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41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41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417C"/>
    <w:rPr>
      <w:rFonts w:eastAsiaTheme="majorEastAsia" w:cstheme="majorBidi"/>
      <w:color w:val="272727" w:themeColor="text1" w:themeTint="D8"/>
    </w:rPr>
  </w:style>
  <w:style w:type="paragraph" w:styleId="Title">
    <w:name w:val="Title"/>
    <w:basedOn w:val="Normal"/>
    <w:next w:val="Normal"/>
    <w:link w:val="TitleChar"/>
    <w:uiPriority w:val="10"/>
    <w:qFormat/>
    <w:rsid w:val="00DC41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41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41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41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417C"/>
    <w:pPr>
      <w:spacing w:before="160"/>
      <w:jc w:val="center"/>
    </w:pPr>
    <w:rPr>
      <w:i/>
      <w:iCs/>
      <w:color w:val="404040" w:themeColor="text1" w:themeTint="BF"/>
    </w:rPr>
  </w:style>
  <w:style w:type="character" w:customStyle="1" w:styleId="QuoteChar">
    <w:name w:val="Quote Char"/>
    <w:basedOn w:val="DefaultParagraphFont"/>
    <w:link w:val="Quote"/>
    <w:uiPriority w:val="29"/>
    <w:rsid w:val="00DC417C"/>
    <w:rPr>
      <w:i/>
      <w:iCs/>
      <w:color w:val="404040" w:themeColor="text1" w:themeTint="BF"/>
    </w:rPr>
  </w:style>
  <w:style w:type="paragraph" w:styleId="ListParagraph">
    <w:name w:val="List Paragraph"/>
    <w:basedOn w:val="Normal"/>
    <w:uiPriority w:val="34"/>
    <w:qFormat/>
    <w:rsid w:val="00DC417C"/>
    <w:pPr>
      <w:ind w:left="720"/>
      <w:contextualSpacing/>
    </w:pPr>
  </w:style>
  <w:style w:type="character" w:styleId="IntenseEmphasis">
    <w:name w:val="Intense Emphasis"/>
    <w:basedOn w:val="DefaultParagraphFont"/>
    <w:uiPriority w:val="21"/>
    <w:qFormat/>
    <w:rsid w:val="00DC417C"/>
    <w:rPr>
      <w:i/>
      <w:iCs/>
      <w:color w:val="0F4761" w:themeColor="accent1" w:themeShade="BF"/>
    </w:rPr>
  </w:style>
  <w:style w:type="paragraph" w:styleId="IntenseQuote">
    <w:name w:val="Intense Quote"/>
    <w:basedOn w:val="Normal"/>
    <w:next w:val="Normal"/>
    <w:link w:val="IntenseQuoteChar"/>
    <w:uiPriority w:val="30"/>
    <w:qFormat/>
    <w:rsid w:val="00DC41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417C"/>
    <w:rPr>
      <w:i/>
      <w:iCs/>
      <w:color w:val="0F4761" w:themeColor="accent1" w:themeShade="BF"/>
    </w:rPr>
  </w:style>
  <w:style w:type="character" w:styleId="IntenseReference">
    <w:name w:val="Intense Reference"/>
    <w:basedOn w:val="DefaultParagraphFont"/>
    <w:uiPriority w:val="32"/>
    <w:qFormat/>
    <w:rsid w:val="00DC417C"/>
    <w:rPr>
      <w:b/>
      <w:bCs/>
      <w:smallCaps/>
      <w:color w:val="0F4761" w:themeColor="accent1" w:themeShade="BF"/>
      <w:spacing w:val="5"/>
    </w:rPr>
  </w:style>
  <w:style w:type="character" w:styleId="Hyperlink">
    <w:name w:val="Hyperlink"/>
    <w:basedOn w:val="DefaultParagraphFont"/>
    <w:uiPriority w:val="99"/>
    <w:unhideWhenUsed/>
    <w:rsid w:val="00FC2AEB"/>
    <w:rPr>
      <w:color w:val="467886" w:themeColor="hyperlink"/>
      <w:u w:val="single"/>
    </w:rPr>
  </w:style>
  <w:style w:type="character" w:customStyle="1" w:styleId="UnresolvedMention1">
    <w:name w:val="Unresolved Mention1"/>
    <w:basedOn w:val="DefaultParagraphFont"/>
    <w:uiPriority w:val="99"/>
    <w:semiHidden/>
    <w:unhideWhenUsed/>
    <w:rsid w:val="00FC2AEB"/>
    <w:rPr>
      <w:color w:val="605E5C"/>
      <w:shd w:val="clear" w:color="auto" w:fill="E1DFDD"/>
    </w:rPr>
  </w:style>
  <w:style w:type="paragraph" w:styleId="Header">
    <w:name w:val="header"/>
    <w:basedOn w:val="Normal"/>
    <w:link w:val="HeaderChar"/>
    <w:uiPriority w:val="99"/>
    <w:unhideWhenUsed/>
    <w:rsid w:val="001242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42A3"/>
  </w:style>
  <w:style w:type="paragraph" w:styleId="Footer">
    <w:name w:val="footer"/>
    <w:basedOn w:val="Normal"/>
    <w:link w:val="FooterChar"/>
    <w:uiPriority w:val="99"/>
    <w:unhideWhenUsed/>
    <w:rsid w:val="001242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42A3"/>
  </w:style>
  <w:style w:type="table" w:styleId="TableGrid">
    <w:name w:val="Table Grid"/>
    <w:basedOn w:val="TableNormal"/>
    <w:uiPriority w:val="39"/>
    <w:rsid w:val="002652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95D91"/>
    <w:pPr>
      <w:spacing w:after="0" w:line="240" w:lineRule="auto"/>
    </w:pPr>
  </w:style>
  <w:style w:type="character" w:styleId="FollowedHyperlink">
    <w:name w:val="FollowedHyperlink"/>
    <w:basedOn w:val="DefaultParagraphFont"/>
    <w:uiPriority w:val="99"/>
    <w:semiHidden/>
    <w:unhideWhenUsed/>
    <w:rsid w:val="00230FA3"/>
    <w:rPr>
      <w:color w:val="96607D" w:themeColor="followedHyperlink"/>
      <w:u w:val="single"/>
    </w:rPr>
  </w:style>
  <w:style w:type="character" w:styleId="UnresolvedMention">
    <w:name w:val="Unresolved Mention"/>
    <w:basedOn w:val="DefaultParagraphFont"/>
    <w:uiPriority w:val="99"/>
    <w:semiHidden/>
    <w:unhideWhenUsed/>
    <w:rsid w:val="00C975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who.int/" TargetMode="External"/><Relationship Id="rId3" Type="http://schemas.openxmlformats.org/officeDocument/2006/relationships/settings" Target="settings.xml"/><Relationship Id="rId7" Type="http://schemas.openxmlformats.org/officeDocument/2006/relationships/hyperlink" Target="https://doi.org/10.5281/zenodo.17826036" TargetMode="External"/><Relationship Id="rId12" Type="http://schemas.openxmlformats.org/officeDocument/2006/relationships/hyperlink" Target="https://www.fda.go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ata.or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eur-lex.europa.eu/"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ic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1773</Words>
  <Characters>10108</Characters>
  <Application>Microsoft Office Word</Application>
  <DocSecurity>0</DocSecurity>
  <Lines>84</Lines>
  <Paragraphs>23</Paragraphs>
  <ScaleCrop>false</ScaleCrop>
  <Company/>
  <LinksUpToDate>false</LinksUpToDate>
  <CharactersWithSpaces>11858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Ravi chandran</dc:creator>
  <cp:keywords/>
  <dc:description/>
  <cp:lastModifiedBy>Ravi chandran</cp:lastModifiedBy>
  <cp:revision>22</cp:revision>
  <dcterms:created xsi:type="dcterms:W3CDTF">2025-10-30T04:31:00Z</dcterms:created>
  <dcterms:modified xsi:type="dcterms:W3CDTF">2025-12-05T06:32:00Z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2025-10-30T04:34:56Z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2233788e-8b2f-4480-8d4a-27a2933a6283</vt:lpwstr>
  </property>
  <property fmtid="{D5CDD505-2E9C-101B-9397-08002B2CF9AE}" pid="7" name="MSIP_Label_defa4170-0d19-0005-0004-bc88714345d2_ActionId">
    <vt:lpwstr>109d4105-2b3b-40ac-a4ec-29be49738db1</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