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44DD" w14:textId="21C7F259" w:rsidR="00616BD4" w:rsidRDefault="00265259" w:rsidP="00265259">
      <w:pPr>
        <w:spacing w:after="0" w:line="160" w:lineRule="atLeast"/>
        <w:jc w:val="both"/>
        <w:rPr>
          <w:rFonts w:ascii="Arial" w:eastAsia="Arial" w:hAnsi="Arial" w:cs="Arial"/>
          <w:i/>
          <w:color w:val="000000" w:themeColor="text1"/>
          <w:spacing w:val="-1"/>
          <w:sz w:val="14"/>
          <w:szCs w:val="14"/>
        </w:rPr>
      </w:pPr>
      <w:bookmarkStart w:id="0" w:name="_Hlk214371776"/>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Business and Management</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616BD4">
        <w:rPr>
          <w:rFonts w:ascii="Arial" w:eastAsia="Arial" w:hAnsi="Arial" w:cs="Arial"/>
          <w:i/>
          <w:color w:val="000000"/>
          <w:spacing w:val="-1"/>
          <w:sz w:val="14"/>
          <w:szCs w:val="14"/>
        </w:rPr>
        <w:tab/>
      </w:r>
      <w:r w:rsidR="00616BD4">
        <w:rPr>
          <w:rFonts w:ascii="Arial" w:eastAsia="Arial" w:hAnsi="Arial" w:cs="Arial"/>
          <w:i/>
          <w:color w:val="000000"/>
          <w:spacing w:val="-1"/>
          <w:sz w:val="14"/>
          <w:szCs w:val="14"/>
        </w:rPr>
        <w:tab/>
      </w:r>
      <w:r w:rsidRPr="00812D87">
        <w:rPr>
          <w:rFonts w:ascii="Arial" w:eastAsia="Arial" w:hAnsi="Arial" w:cs="Arial"/>
          <w:i/>
          <w:color w:val="000000" w:themeColor="text1"/>
          <w:spacing w:val="-1"/>
          <w:sz w:val="14"/>
          <w:szCs w:val="14"/>
        </w:rPr>
        <w:t>ISSN:2227-1287</w:t>
      </w:r>
    </w:p>
    <w:p w14:paraId="07289DD6" w14:textId="60C9A3D4" w:rsidR="00B96C68" w:rsidRPr="00616BD4" w:rsidRDefault="00265259" w:rsidP="00B96C68">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Volume 13,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sidR="00B96C68">
        <w:rPr>
          <w:rFonts w:ascii="Arial" w:eastAsia="Arial" w:hAnsi="Arial" w:cs="Arial"/>
          <w:i/>
          <w:color w:val="000000"/>
          <w:spacing w:val="-1"/>
          <w:sz w:val="14"/>
          <w:szCs w:val="14"/>
        </w:rPr>
        <w:t>Dec</w:t>
      </w:r>
      <w:r>
        <w:rPr>
          <w:rFonts w:ascii="Arial" w:eastAsia="Arial" w:hAnsi="Arial" w:cs="Arial"/>
          <w:i/>
          <w:color w:val="000000"/>
          <w:spacing w:val="-1"/>
          <w:sz w:val="14"/>
          <w:szCs w:val="14"/>
        </w:rPr>
        <w:t>ember</w:t>
      </w:r>
      <w:r w:rsidRPr="00DF2646">
        <w:rPr>
          <w:rFonts w:ascii="Arial" w:eastAsia="Arial" w:hAnsi="Arial" w:cs="Arial"/>
          <w:i/>
          <w:color w:val="000000"/>
          <w:spacing w:val="-1"/>
          <w:sz w:val="14"/>
          <w:szCs w:val="14"/>
        </w:rPr>
        <w:t xml:space="preserve"> 2025</w:t>
      </w:r>
      <w:bookmarkEnd w:id="0"/>
      <w:r w:rsidR="00616BD4">
        <w:rPr>
          <w:rFonts w:ascii="Arial" w:eastAsia="Arial" w:hAnsi="Arial" w:cs="Arial"/>
          <w:i/>
          <w:color w:val="000000"/>
          <w:spacing w:val="-1"/>
          <w:sz w:val="14"/>
          <w:szCs w:val="14"/>
        </w:rPr>
        <w:tab/>
      </w:r>
      <w:r w:rsidR="00616BD4">
        <w:rPr>
          <w:rFonts w:ascii="Arial" w:eastAsia="Arial" w:hAnsi="Arial" w:cs="Arial"/>
          <w:i/>
          <w:color w:val="000000"/>
          <w:spacing w:val="-1"/>
          <w:sz w:val="14"/>
          <w:szCs w:val="14"/>
        </w:rPr>
        <w:tab/>
      </w:r>
      <w:r w:rsidR="00616BD4">
        <w:rPr>
          <w:rFonts w:ascii="Arial" w:eastAsia="Arial" w:hAnsi="Arial" w:cs="Arial"/>
          <w:i/>
          <w:color w:val="000000"/>
          <w:spacing w:val="-1"/>
          <w:sz w:val="14"/>
          <w:szCs w:val="14"/>
        </w:rPr>
        <w:tab/>
      </w:r>
      <w:r w:rsidR="00616BD4">
        <w:rPr>
          <w:rFonts w:ascii="Arial" w:eastAsia="Arial" w:hAnsi="Arial" w:cs="Arial"/>
          <w:i/>
          <w:color w:val="000000"/>
          <w:spacing w:val="-1"/>
          <w:sz w:val="14"/>
          <w:szCs w:val="14"/>
        </w:rPr>
        <w:tab/>
      </w:r>
      <w:r w:rsidR="00616BD4">
        <w:rPr>
          <w:rFonts w:ascii="Arial" w:eastAsia="Arial" w:hAnsi="Arial" w:cs="Arial"/>
          <w:i/>
          <w:color w:val="000000"/>
          <w:spacing w:val="-1"/>
          <w:sz w:val="14"/>
          <w:szCs w:val="14"/>
        </w:rPr>
        <w:tab/>
        <w:t xml:space="preserve">         </w:t>
      </w:r>
      <w:r w:rsidR="00B96C68">
        <w:rPr>
          <w:rFonts w:ascii="Arial" w:eastAsia="Arial" w:hAnsi="Arial" w:cs="Arial"/>
          <w:i/>
          <w:color w:val="000000"/>
          <w:spacing w:val="-1"/>
          <w:sz w:val="14"/>
          <w:szCs w:val="14"/>
        </w:rPr>
        <w:t>DOI:</w:t>
      </w:r>
      <w:r w:rsidR="00B96C68" w:rsidRPr="00F13FAA">
        <w:t xml:space="preserve"> </w:t>
      </w:r>
      <w:hyperlink r:id="rId7" w:history="1">
        <w:r w:rsidR="00C9754D" w:rsidRPr="008D2011">
          <w:rPr>
            <w:rStyle w:val="Hyperlink"/>
            <w:rFonts w:ascii="Arial" w:eastAsia="Arial" w:hAnsi="Arial" w:cs="Arial"/>
            <w:i/>
            <w:spacing w:val="-1"/>
            <w:sz w:val="14"/>
            <w:szCs w:val="14"/>
          </w:rPr>
          <w:t>https://</w:t>
        </w:r>
        <w:r w:rsidR="00C9754D" w:rsidRPr="008D2011">
          <w:rPr>
            <w:rStyle w:val="Hyperlink"/>
            <w:rFonts w:ascii="Arial" w:eastAsia="Arial" w:hAnsi="Arial" w:cs="Arial"/>
            <w:i/>
            <w:spacing w:val="-1"/>
            <w:sz w:val="14"/>
            <w:szCs w:val="14"/>
          </w:rPr>
          <w:t>d</w:t>
        </w:r>
        <w:r w:rsidR="00C9754D" w:rsidRPr="008D2011">
          <w:rPr>
            <w:rStyle w:val="Hyperlink"/>
            <w:rFonts w:ascii="Arial" w:eastAsia="Arial" w:hAnsi="Arial" w:cs="Arial"/>
            <w:i/>
            <w:spacing w:val="-1"/>
            <w:sz w:val="14"/>
            <w:szCs w:val="14"/>
          </w:rPr>
          <w:t>oi.org/10.5281/zenodo.17826036</w:t>
        </w:r>
      </w:hyperlink>
    </w:p>
    <w:p w14:paraId="1AE3E124" w14:textId="77777777" w:rsidR="00265259" w:rsidRPr="00CE7005" w:rsidRDefault="00265259" w:rsidP="00265259">
      <w:pPr>
        <w:jc w:val="center"/>
        <w:rPr>
          <w:rFonts w:ascii="Times New Roman" w:hAnsi="Times New Roman" w:cs="Times New Roman"/>
          <w:b/>
          <w:bCs/>
          <w:sz w:val="10"/>
          <w:szCs w:val="10"/>
        </w:rPr>
      </w:pPr>
    </w:p>
    <w:p w14:paraId="5852F159" w14:textId="7A8DFDF4" w:rsidR="00FC2AEB" w:rsidRDefault="00FC2AEB" w:rsidP="00FC2AEB">
      <w:pPr>
        <w:jc w:val="center"/>
        <w:rPr>
          <w:rFonts w:ascii="Times New Roman" w:hAnsi="Times New Roman" w:cs="Times New Roman"/>
          <w:b/>
          <w:bCs/>
          <w:sz w:val="32"/>
          <w:szCs w:val="32"/>
        </w:rPr>
      </w:pPr>
      <w:r w:rsidRPr="00265259">
        <w:rPr>
          <w:rFonts w:ascii="Times New Roman" w:hAnsi="Times New Roman" w:cs="Times New Roman"/>
          <w:b/>
          <w:bCs/>
          <w:sz w:val="32"/>
          <w:szCs w:val="32"/>
        </w:rPr>
        <w:t>Optimising Shipment Mode Amid QC Delays at Biocon Limited</w:t>
      </w:r>
    </w:p>
    <w:p w14:paraId="4F5F2D88" w14:textId="77777777" w:rsidR="004E23F6" w:rsidRPr="004E23F6" w:rsidRDefault="004E23F6" w:rsidP="00FC2AEB">
      <w:pPr>
        <w:jc w:val="center"/>
        <w:rPr>
          <w:rFonts w:ascii="Times New Roman" w:hAnsi="Times New Roman" w:cs="Times New Roman"/>
          <w:b/>
          <w:bCs/>
          <w:sz w:val="2"/>
          <w:szCs w:val="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4050"/>
      </w:tblGrid>
      <w:tr w:rsidR="00265259" w:rsidRPr="00616BD4" w14:paraId="30A6FE7E" w14:textId="77777777" w:rsidTr="00265259">
        <w:trPr>
          <w:jc w:val="center"/>
        </w:trPr>
        <w:tc>
          <w:tcPr>
            <w:tcW w:w="3955" w:type="dxa"/>
          </w:tcPr>
          <w:p w14:paraId="5D43A18F" w14:textId="77777777" w:rsidR="00265259" w:rsidRPr="00616BD4" w:rsidRDefault="00265259" w:rsidP="00265259">
            <w:pPr>
              <w:jc w:val="center"/>
              <w:rPr>
                <w:rFonts w:ascii="Calibri" w:hAnsi="Calibri" w:cs="Calibri"/>
                <w:b/>
                <w:bCs/>
                <w:i/>
                <w:iCs/>
                <w:sz w:val="16"/>
                <w:szCs w:val="16"/>
              </w:rPr>
            </w:pPr>
            <w:proofErr w:type="spellStart"/>
            <w:r w:rsidRPr="00616BD4">
              <w:rPr>
                <w:rFonts w:ascii="Calibri" w:hAnsi="Calibri" w:cs="Calibri"/>
                <w:b/>
                <w:bCs/>
                <w:i/>
                <w:iCs/>
                <w:sz w:val="16"/>
                <w:szCs w:val="16"/>
              </w:rPr>
              <w:t>Bhoomikaa</w:t>
            </w:r>
            <w:proofErr w:type="spellEnd"/>
            <w:r w:rsidRPr="00616BD4">
              <w:rPr>
                <w:rFonts w:ascii="Calibri" w:hAnsi="Calibri" w:cs="Calibri"/>
                <w:b/>
                <w:bCs/>
                <w:i/>
                <w:iCs/>
                <w:sz w:val="16"/>
                <w:szCs w:val="16"/>
              </w:rPr>
              <w:t xml:space="preserve"> B</w:t>
            </w:r>
          </w:p>
          <w:p w14:paraId="75EBECC8" w14:textId="77777777" w:rsidR="00265259" w:rsidRPr="00616BD4" w:rsidRDefault="00265259" w:rsidP="00265259">
            <w:pPr>
              <w:jc w:val="center"/>
              <w:rPr>
                <w:rFonts w:ascii="Calibri" w:hAnsi="Calibri" w:cs="Calibri"/>
                <w:sz w:val="16"/>
                <w:szCs w:val="16"/>
              </w:rPr>
            </w:pPr>
            <w:r w:rsidRPr="00616BD4">
              <w:rPr>
                <w:rFonts w:ascii="Calibri" w:hAnsi="Calibri" w:cs="Calibri"/>
                <w:sz w:val="16"/>
                <w:szCs w:val="16"/>
              </w:rPr>
              <w:t xml:space="preserve">MBA Student, Faculty of Management Studies, </w:t>
            </w:r>
          </w:p>
          <w:p w14:paraId="2E777742" w14:textId="77777777" w:rsidR="00265259" w:rsidRPr="00616BD4" w:rsidRDefault="00265259" w:rsidP="00265259">
            <w:pPr>
              <w:jc w:val="center"/>
              <w:rPr>
                <w:rFonts w:ascii="Calibri" w:hAnsi="Calibri" w:cs="Calibri"/>
                <w:sz w:val="16"/>
                <w:szCs w:val="16"/>
              </w:rPr>
            </w:pPr>
            <w:r w:rsidRPr="00616BD4">
              <w:rPr>
                <w:rFonts w:ascii="Calibri" w:hAnsi="Calibri" w:cs="Calibri"/>
                <w:sz w:val="16"/>
                <w:szCs w:val="16"/>
              </w:rPr>
              <w:t xml:space="preserve">CMS Business School, </w:t>
            </w:r>
          </w:p>
          <w:p w14:paraId="0699E4A3" w14:textId="141ADD56" w:rsidR="00265259" w:rsidRPr="00616BD4" w:rsidRDefault="00265259" w:rsidP="00265259">
            <w:pPr>
              <w:jc w:val="center"/>
              <w:rPr>
                <w:rFonts w:ascii="Calibri" w:hAnsi="Calibri" w:cs="Calibri"/>
                <w:sz w:val="16"/>
                <w:szCs w:val="16"/>
              </w:rPr>
            </w:pPr>
            <w:r w:rsidRPr="00616BD4">
              <w:rPr>
                <w:rFonts w:ascii="Calibri" w:hAnsi="Calibri" w:cs="Calibri"/>
                <w:sz w:val="16"/>
                <w:szCs w:val="16"/>
              </w:rPr>
              <w:t>Jain (Deemed-to-be University), Bangalore.</w:t>
            </w:r>
          </w:p>
          <w:p w14:paraId="18FA70A9" w14:textId="77777777" w:rsidR="00265259" w:rsidRPr="00616BD4" w:rsidRDefault="00265259" w:rsidP="00265259">
            <w:pPr>
              <w:jc w:val="center"/>
              <w:rPr>
                <w:rFonts w:ascii="Calibri" w:hAnsi="Calibri" w:cs="Calibri"/>
                <w:b/>
                <w:bCs/>
                <w:sz w:val="16"/>
                <w:szCs w:val="16"/>
              </w:rPr>
            </w:pPr>
          </w:p>
        </w:tc>
        <w:tc>
          <w:tcPr>
            <w:tcW w:w="4050" w:type="dxa"/>
          </w:tcPr>
          <w:p w14:paraId="3D1B09B9" w14:textId="77777777" w:rsidR="00265259" w:rsidRPr="00616BD4" w:rsidRDefault="00265259" w:rsidP="00265259">
            <w:pPr>
              <w:jc w:val="center"/>
              <w:rPr>
                <w:rFonts w:ascii="Calibri" w:hAnsi="Calibri" w:cs="Calibri"/>
                <w:b/>
                <w:bCs/>
                <w:i/>
                <w:iCs/>
                <w:sz w:val="16"/>
                <w:szCs w:val="16"/>
              </w:rPr>
            </w:pPr>
            <w:r w:rsidRPr="00616BD4">
              <w:rPr>
                <w:rFonts w:ascii="Calibri" w:hAnsi="Calibri" w:cs="Calibri"/>
                <w:b/>
                <w:bCs/>
                <w:i/>
                <w:iCs/>
                <w:sz w:val="16"/>
                <w:szCs w:val="16"/>
              </w:rPr>
              <w:t>Vinoth Kumar V</w:t>
            </w:r>
          </w:p>
          <w:p w14:paraId="4932C676" w14:textId="77777777" w:rsidR="00265259" w:rsidRPr="00616BD4" w:rsidRDefault="00265259" w:rsidP="00265259">
            <w:pPr>
              <w:jc w:val="center"/>
              <w:rPr>
                <w:rFonts w:ascii="Calibri" w:hAnsi="Calibri" w:cs="Calibri"/>
                <w:sz w:val="16"/>
                <w:szCs w:val="16"/>
              </w:rPr>
            </w:pPr>
            <w:r w:rsidRPr="00616BD4">
              <w:rPr>
                <w:rFonts w:ascii="Calibri" w:hAnsi="Calibri" w:cs="Calibri"/>
                <w:sz w:val="16"/>
                <w:szCs w:val="16"/>
              </w:rPr>
              <w:t xml:space="preserve">Associate Professor, Faculty of Management Studies, </w:t>
            </w:r>
          </w:p>
          <w:p w14:paraId="2C8C0EA7" w14:textId="77777777" w:rsidR="00265259" w:rsidRPr="00616BD4" w:rsidRDefault="00265259" w:rsidP="00265259">
            <w:pPr>
              <w:jc w:val="center"/>
              <w:rPr>
                <w:rFonts w:ascii="Calibri" w:hAnsi="Calibri" w:cs="Calibri"/>
                <w:sz w:val="16"/>
                <w:szCs w:val="16"/>
              </w:rPr>
            </w:pPr>
            <w:r w:rsidRPr="00616BD4">
              <w:rPr>
                <w:rFonts w:ascii="Calibri" w:hAnsi="Calibri" w:cs="Calibri"/>
                <w:sz w:val="16"/>
                <w:szCs w:val="16"/>
              </w:rPr>
              <w:t xml:space="preserve">CMS Business School, </w:t>
            </w:r>
          </w:p>
          <w:p w14:paraId="5AC0C734" w14:textId="65A9D65A" w:rsidR="00265259" w:rsidRPr="00616BD4" w:rsidRDefault="00265259" w:rsidP="00265259">
            <w:pPr>
              <w:jc w:val="center"/>
              <w:rPr>
                <w:rFonts w:ascii="Calibri" w:hAnsi="Calibri" w:cs="Calibri"/>
                <w:b/>
                <w:bCs/>
                <w:sz w:val="16"/>
                <w:szCs w:val="16"/>
              </w:rPr>
            </w:pPr>
            <w:r w:rsidRPr="00616BD4">
              <w:rPr>
                <w:rFonts w:ascii="Calibri" w:hAnsi="Calibri" w:cs="Calibri"/>
                <w:sz w:val="16"/>
                <w:szCs w:val="16"/>
              </w:rPr>
              <w:t xml:space="preserve">Jain (Deemed-to-be University), Bangalore. </w:t>
            </w:r>
          </w:p>
        </w:tc>
      </w:tr>
    </w:tbl>
    <w:p w14:paraId="7D229030" w14:textId="77777777" w:rsidR="00265259" w:rsidRPr="00265259" w:rsidRDefault="00265259" w:rsidP="00265259">
      <w:pPr>
        <w:ind w:left="720" w:right="386"/>
        <w:jc w:val="center"/>
        <w:rPr>
          <w:rFonts w:ascii="Times New Roman" w:hAnsi="Times New Roman" w:cs="Times New Roman"/>
          <w:b/>
          <w:bCs/>
          <w:sz w:val="4"/>
          <w:szCs w:val="4"/>
        </w:rPr>
      </w:pPr>
    </w:p>
    <w:p w14:paraId="0101D142" w14:textId="77777777" w:rsidR="00FC2AEB" w:rsidRPr="00265259" w:rsidRDefault="00FC2AEB" w:rsidP="00265259">
      <w:pPr>
        <w:spacing w:after="0" w:line="240" w:lineRule="auto"/>
        <w:ind w:left="720" w:right="386"/>
        <w:jc w:val="center"/>
        <w:rPr>
          <w:rFonts w:ascii="Arial" w:hAnsi="Arial" w:cs="Arial"/>
          <w:b/>
          <w:bCs/>
          <w:i/>
          <w:iCs/>
          <w:sz w:val="18"/>
          <w:szCs w:val="18"/>
        </w:rPr>
      </w:pPr>
      <w:r w:rsidRPr="00265259">
        <w:rPr>
          <w:rFonts w:ascii="Arial" w:hAnsi="Arial" w:cs="Arial"/>
          <w:b/>
          <w:bCs/>
          <w:i/>
          <w:iCs/>
          <w:sz w:val="18"/>
          <w:szCs w:val="18"/>
        </w:rPr>
        <w:t>Abstract</w:t>
      </w:r>
    </w:p>
    <w:p w14:paraId="46D0B325" w14:textId="77777777" w:rsidR="00265259" w:rsidRPr="00265259" w:rsidRDefault="00265259" w:rsidP="00265259">
      <w:pPr>
        <w:spacing w:after="0" w:line="240" w:lineRule="auto"/>
        <w:ind w:left="720" w:right="386"/>
        <w:jc w:val="center"/>
        <w:rPr>
          <w:rFonts w:ascii="Arial" w:hAnsi="Arial" w:cs="Arial"/>
          <w:b/>
          <w:bCs/>
          <w:i/>
          <w:iCs/>
          <w:sz w:val="18"/>
          <w:szCs w:val="18"/>
        </w:rPr>
      </w:pPr>
    </w:p>
    <w:p w14:paraId="4C47CE37" w14:textId="77777777" w:rsidR="00BE4340" w:rsidRDefault="00BE4340" w:rsidP="00265259">
      <w:pPr>
        <w:spacing w:after="0" w:line="240" w:lineRule="auto"/>
        <w:ind w:left="720" w:right="386"/>
        <w:jc w:val="both"/>
        <w:rPr>
          <w:rFonts w:ascii="Arial" w:hAnsi="Arial" w:cs="Arial"/>
          <w:sz w:val="18"/>
          <w:szCs w:val="18"/>
        </w:rPr>
      </w:pPr>
      <w:r w:rsidRPr="00265259">
        <w:rPr>
          <w:rFonts w:ascii="Arial" w:hAnsi="Arial" w:cs="Arial"/>
          <w:sz w:val="18"/>
          <w:szCs w:val="18"/>
        </w:rPr>
        <w:t>Delays in quality control (QC) turnaround time (TAT) mess up the schedules for making drugs and often require last-minute changes from sea to air freight for exports. In the case of Biocon Limited's exports, this case looks at how the choice of shipping mode is affected by the risk of QC batch release, lane transit times, and costs. When QC clears too close to shipping cut-offs, the economics of sea freight are badly hurt. A lane-risk approach uses cGMP-anchored release gates, carrier sailing schedules, SKU prioritization, and contingency buffers to keep risk under control. Regulatory guidance on Good Distribution Practice (GDP) and quality systems shapes governance frameworks, data capture methods, and review schedules that make it easier to predict when batches will be released. The case lays out rules for managing portfolios that keep compliance while moving possible volumes back to sea lanes that are better for the economy and the environment. It also shows how to weigh the costs, benefits, and carbon footprints of different options. Data-driven decision-making is possible with dashboards that track QC TAT, payload usage, demurrage costs, and mode mix, with clear responsibilities for each. Recognizing assumptions and limitations. The terms used are in line with academic standards. Findings ought to be corroborated with local evidence. Consequences hinge significantly on the fidelity of implementation and the quality of data.</w:t>
      </w:r>
    </w:p>
    <w:p w14:paraId="6820C84F" w14:textId="77777777" w:rsidR="00265259" w:rsidRPr="00265259" w:rsidRDefault="00265259" w:rsidP="00265259">
      <w:pPr>
        <w:spacing w:after="0" w:line="240" w:lineRule="auto"/>
        <w:ind w:left="720" w:right="386"/>
        <w:jc w:val="both"/>
        <w:rPr>
          <w:rFonts w:ascii="Arial" w:hAnsi="Arial" w:cs="Arial"/>
          <w:sz w:val="18"/>
          <w:szCs w:val="18"/>
        </w:rPr>
      </w:pPr>
    </w:p>
    <w:p w14:paraId="26284F44" w14:textId="0E498C70" w:rsidR="00FC2AEB" w:rsidRPr="00265259" w:rsidRDefault="00FC2AEB" w:rsidP="00265259">
      <w:pPr>
        <w:spacing w:after="0" w:line="240" w:lineRule="auto"/>
        <w:ind w:left="720" w:right="386"/>
        <w:jc w:val="both"/>
        <w:rPr>
          <w:rFonts w:ascii="Arial" w:hAnsi="Arial" w:cs="Arial"/>
          <w:sz w:val="18"/>
          <w:szCs w:val="18"/>
        </w:rPr>
      </w:pPr>
      <w:r w:rsidRPr="00265259">
        <w:rPr>
          <w:rFonts w:ascii="Arial" w:hAnsi="Arial" w:cs="Arial"/>
          <w:b/>
          <w:bCs/>
          <w:sz w:val="18"/>
          <w:szCs w:val="18"/>
        </w:rPr>
        <w:t>Keywords:</w:t>
      </w:r>
      <w:r w:rsidRPr="00265259">
        <w:rPr>
          <w:rFonts w:ascii="Arial" w:hAnsi="Arial" w:cs="Arial"/>
          <w:sz w:val="18"/>
          <w:szCs w:val="18"/>
        </w:rPr>
        <w:t> QC TAT, cGMP, GDP, Cold-chain logistics, Mode optimization, Air-Sea trade-off</w:t>
      </w:r>
      <w:r w:rsidR="00764A1C" w:rsidRPr="00265259">
        <w:rPr>
          <w:rFonts w:ascii="Arial" w:hAnsi="Arial" w:cs="Arial"/>
          <w:sz w:val="18"/>
          <w:szCs w:val="18"/>
        </w:rPr>
        <w:t>.</w:t>
      </w:r>
    </w:p>
    <w:p w14:paraId="4B2E3157" w14:textId="77777777" w:rsidR="00265259" w:rsidRDefault="00265259" w:rsidP="00FC2AEB">
      <w:pPr>
        <w:jc w:val="both"/>
        <w:rPr>
          <w:rFonts w:ascii="Times New Roman" w:hAnsi="Times New Roman" w:cs="Times New Roman"/>
          <w:b/>
          <w:bCs/>
        </w:rPr>
      </w:pPr>
    </w:p>
    <w:p w14:paraId="5B62D95A" w14:textId="77777777" w:rsidR="00265259" w:rsidRDefault="00265259" w:rsidP="00FC2AEB">
      <w:pPr>
        <w:jc w:val="both"/>
        <w:rPr>
          <w:rFonts w:ascii="Times New Roman" w:hAnsi="Times New Roman" w:cs="Times New Roman"/>
          <w:b/>
          <w:bCs/>
        </w:rPr>
        <w:sectPr w:rsidR="00265259" w:rsidSect="00616BD4">
          <w:headerReference w:type="even" r:id="rId8"/>
          <w:headerReference w:type="default" r:id="rId9"/>
          <w:pgSz w:w="11906" w:h="16838" w:code="9"/>
          <w:pgMar w:top="1440" w:right="1440" w:bottom="1440" w:left="1440" w:header="1008" w:footer="720" w:gutter="0"/>
          <w:pgNumType w:start="44"/>
          <w:cols w:space="708"/>
          <w:docGrid w:linePitch="360"/>
        </w:sectPr>
      </w:pPr>
    </w:p>
    <w:p w14:paraId="7375B6B9" w14:textId="4CB15C49" w:rsidR="00FC2AEB" w:rsidRPr="00265259" w:rsidRDefault="00FC2AEB" w:rsidP="00265259">
      <w:pPr>
        <w:spacing w:after="120" w:line="276" w:lineRule="auto"/>
        <w:jc w:val="center"/>
        <w:rPr>
          <w:rFonts w:ascii="Arial" w:hAnsi="Arial" w:cs="Arial"/>
          <w:b/>
          <w:bCs/>
          <w:caps/>
          <w:sz w:val="22"/>
          <w:szCs w:val="22"/>
        </w:rPr>
      </w:pPr>
      <w:r w:rsidRPr="00265259">
        <w:rPr>
          <w:rFonts w:ascii="Arial" w:hAnsi="Arial" w:cs="Arial"/>
          <w:b/>
          <w:bCs/>
          <w:caps/>
          <w:sz w:val="22"/>
          <w:szCs w:val="22"/>
        </w:rPr>
        <w:t>Case Introduction</w:t>
      </w:r>
    </w:p>
    <w:p w14:paraId="5815C37C" w14:textId="77777777" w:rsid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 xml:space="preserve">Biocon Limited is a global pharmaceutical company that sells active pharmaceutical ingredients (APIs), formulations, and biosimilars to markets with strict rules, such as the U.S. and the European Union. These markets have strict rules about releasing and distributing batches, which means that quality control (QC) processes must be very well managed. Production cycles include raw materials, intermediates, and finished goods. The quality control turnaround times (TATs) of these goods have a big effect on when they can be shipped. </w:t>
      </w:r>
    </w:p>
    <w:p w14:paraId="5E45F765" w14:textId="77777777" w:rsid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 xml:space="preserve">Internship observations showed that QC delays made shipping windows shorter, which often meant that certain SKUs missed important sea freight cut-offs. Biocon had to use more expensive air freight options to meet delivery deadlines because of regulatory and customer demands for product integrity. This hurt </w:t>
      </w:r>
      <w:r w:rsidRPr="00265259">
        <w:rPr>
          <w:rFonts w:ascii="Arial" w:hAnsi="Arial" w:cs="Arial"/>
          <w:sz w:val="22"/>
          <w:szCs w:val="22"/>
        </w:rPr>
        <w:t xml:space="preserve">their margins and their goals for carbon footprints. </w:t>
      </w:r>
    </w:p>
    <w:p w14:paraId="2B962707" w14:textId="77777777" w:rsid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 xml:space="preserve">The case views decisions about how to ship as being based on the reliability of the quality system. When QC release time variance is high, it is necessary to use faster air lanes. But as release predictability improves, it is possible to ship more SKUs by sea. This model links current Good Manufacturing Practice (cGMP) and Good Distribution Practice (GDP) guidelines to operational tools like real-time release status visibility, lane qualification, and strategic forward booking. </w:t>
      </w:r>
    </w:p>
    <w:p w14:paraId="34EE918F" w14:textId="77777777" w:rsid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 xml:space="preserve">Managers need to create risk-adjusted buffers that make the most of the sea without lowering the level of assurance that goods will be released. The challenge for managers is to write down these rules for escalation and make sure that QC, production planning, and forwarding all work together under Key Performance </w:t>
      </w:r>
      <w:r w:rsidRPr="00265259">
        <w:rPr>
          <w:rFonts w:ascii="Arial" w:hAnsi="Arial" w:cs="Arial"/>
          <w:sz w:val="22"/>
          <w:szCs w:val="22"/>
        </w:rPr>
        <w:lastRenderedPageBreak/>
        <w:t xml:space="preserve">Indicators (KPIs) that are shared and measurable. These KPIs should directly link release predictability to mode selection and cost outcomes. </w:t>
      </w:r>
    </w:p>
    <w:p w14:paraId="45271949" w14:textId="2835D9BB" w:rsidR="00BE4340" w:rsidRP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A cross-functional operating rhythm that includes dashboards, regular reviews, and escalation frameworks helps the company cut down on mode-switch exceptions, improve the economics of the supply chain, and keep its environmental promises.</w:t>
      </w:r>
    </w:p>
    <w:p w14:paraId="1528342C" w14:textId="77777777" w:rsidR="00265259" w:rsidRPr="00F95D91" w:rsidRDefault="00FC2AEB" w:rsidP="00F95D91">
      <w:pPr>
        <w:spacing w:after="120" w:line="276" w:lineRule="auto"/>
        <w:jc w:val="center"/>
        <w:rPr>
          <w:rFonts w:ascii="Arial" w:hAnsi="Arial" w:cs="Arial"/>
          <w:b/>
          <w:bCs/>
          <w:caps/>
          <w:sz w:val="22"/>
          <w:szCs w:val="22"/>
        </w:rPr>
      </w:pPr>
      <w:r w:rsidRPr="00F95D91">
        <w:rPr>
          <w:rFonts w:ascii="Arial" w:hAnsi="Arial" w:cs="Arial"/>
          <w:b/>
          <w:bCs/>
          <w:caps/>
          <w:sz w:val="22"/>
          <w:szCs w:val="22"/>
        </w:rPr>
        <w:t>About the Industry</w:t>
      </w:r>
    </w:p>
    <w:p w14:paraId="04C8C6FE" w14:textId="77777777" w:rsid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 xml:space="preserve">Under strict rules, pharmaceutical supply chains deal with products that are sensitive to temperature and time. Good Distribution Practice (GDP) brings together everyone's expectations about how to store, handle, document, and pass things between stakeholders. The Airline Temperature Control Regulations (TCR) set rules for how to package, label, and control the temperature of multimodal shipments, especially those that go by air and sea. </w:t>
      </w:r>
    </w:p>
    <w:p w14:paraId="5B7AC1E9" w14:textId="77777777" w:rsidR="00265259" w:rsidRDefault="00BE4340" w:rsidP="00265259">
      <w:pPr>
        <w:spacing w:after="120" w:line="276" w:lineRule="auto"/>
        <w:ind w:firstLine="720"/>
        <w:jc w:val="both"/>
        <w:rPr>
          <w:rFonts w:ascii="Arial" w:hAnsi="Arial" w:cs="Arial"/>
          <w:b/>
          <w:bCs/>
          <w:sz w:val="22"/>
          <w:szCs w:val="22"/>
        </w:rPr>
      </w:pPr>
      <w:r w:rsidRPr="00265259">
        <w:rPr>
          <w:rFonts w:ascii="Arial" w:hAnsi="Arial" w:cs="Arial"/>
          <w:sz w:val="22"/>
          <w:szCs w:val="22"/>
        </w:rPr>
        <w:t xml:space="preserve">Quality systems like cGMP and International Council for Harmonisation (ICH) Q10 have very strict rules for validated processes and documented batch release records. This makes it hard to speed up production schedules that might skip important testing. </w:t>
      </w:r>
    </w:p>
    <w:p w14:paraId="5901D8AE" w14:textId="77777777" w:rsidR="00265259" w:rsidRDefault="00BE4340" w:rsidP="00265259">
      <w:pPr>
        <w:spacing w:after="120" w:line="276" w:lineRule="auto"/>
        <w:ind w:firstLine="720"/>
        <w:jc w:val="both"/>
        <w:rPr>
          <w:rFonts w:ascii="Arial" w:hAnsi="Arial" w:cs="Arial"/>
          <w:b/>
          <w:bCs/>
          <w:sz w:val="22"/>
          <w:szCs w:val="22"/>
        </w:rPr>
      </w:pPr>
      <w:r w:rsidRPr="00265259">
        <w:rPr>
          <w:rFonts w:ascii="Arial" w:hAnsi="Arial" w:cs="Arial"/>
          <w:sz w:val="22"/>
          <w:szCs w:val="22"/>
        </w:rPr>
        <w:t xml:space="preserve">The economics of the industry reward precise "right-sizing" of protection strategies. For example, active container use and air freight are only for very sensitive products and shipments that are late to arrive, while qualified sea lanes and hybrid or passive packaging are used for stable, predictable corridors. Digital release dashboards and forward slotting with carriers are two examples of new technology that lowers variance exposure by making sure that quality gates and shipping cut-offs are in sync. </w:t>
      </w:r>
    </w:p>
    <w:p w14:paraId="37C999C8" w14:textId="08FC7ADB" w:rsidR="00BE4340" w:rsidRPr="00265259" w:rsidRDefault="00BE4340" w:rsidP="00265259">
      <w:pPr>
        <w:spacing w:after="120" w:line="276" w:lineRule="auto"/>
        <w:ind w:firstLine="720"/>
        <w:jc w:val="both"/>
        <w:rPr>
          <w:rFonts w:ascii="Arial" w:hAnsi="Arial" w:cs="Arial"/>
          <w:b/>
          <w:bCs/>
          <w:sz w:val="22"/>
          <w:szCs w:val="22"/>
        </w:rPr>
      </w:pPr>
      <w:r w:rsidRPr="00265259">
        <w:rPr>
          <w:rFonts w:ascii="Arial" w:hAnsi="Arial" w:cs="Arial"/>
          <w:sz w:val="22"/>
          <w:szCs w:val="22"/>
        </w:rPr>
        <w:t>These regulatory and practical design principles push pharmaceutical companies toward adopting multimodal logistics strategies that balance compliance, cost, carbon footprint, and service reliability.</w:t>
      </w:r>
    </w:p>
    <w:p w14:paraId="1F831A4B" w14:textId="77777777" w:rsidR="00FC2AEB" w:rsidRPr="00F95D91" w:rsidRDefault="00FC2AEB" w:rsidP="00F95D91">
      <w:pPr>
        <w:spacing w:after="120" w:line="276" w:lineRule="auto"/>
        <w:jc w:val="center"/>
        <w:rPr>
          <w:rFonts w:ascii="Arial" w:hAnsi="Arial" w:cs="Arial"/>
          <w:b/>
          <w:bCs/>
          <w:caps/>
          <w:sz w:val="22"/>
          <w:szCs w:val="22"/>
        </w:rPr>
      </w:pPr>
      <w:r w:rsidRPr="00F95D91">
        <w:rPr>
          <w:rFonts w:ascii="Arial" w:hAnsi="Arial" w:cs="Arial"/>
          <w:b/>
          <w:bCs/>
          <w:caps/>
          <w:sz w:val="22"/>
          <w:szCs w:val="22"/>
        </w:rPr>
        <w:t>Problems Faced by the Industry</w:t>
      </w:r>
    </w:p>
    <w:p w14:paraId="03946DD1" w14:textId="77777777" w:rsidR="00FC2AEB" w:rsidRPr="00265259" w:rsidRDefault="00FC2AEB" w:rsidP="00265259">
      <w:pPr>
        <w:spacing w:after="120" w:line="276" w:lineRule="auto"/>
        <w:ind w:firstLine="360"/>
        <w:jc w:val="both"/>
        <w:rPr>
          <w:rFonts w:ascii="Arial" w:hAnsi="Arial" w:cs="Arial"/>
          <w:sz w:val="22"/>
          <w:szCs w:val="22"/>
        </w:rPr>
      </w:pPr>
      <w:r w:rsidRPr="00265259">
        <w:rPr>
          <w:rFonts w:ascii="Arial" w:hAnsi="Arial" w:cs="Arial"/>
          <w:sz w:val="22"/>
          <w:szCs w:val="22"/>
        </w:rPr>
        <w:t>Common frictions in the pharmaceutical logistics industry include:</w:t>
      </w:r>
    </w:p>
    <w:p w14:paraId="704591BC" w14:textId="77777777" w:rsidR="00FC2AEB" w:rsidRPr="00265259" w:rsidRDefault="00FC2AEB" w:rsidP="00265259">
      <w:pPr>
        <w:numPr>
          <w:ilvl w:val="0"/>
          <w:numId w:val="1"/>
        </w:numPr>
        <w:spacing w:after="120" w:line="276" w:lineRule="auto"/>
        <w:jc w:val="both"/>
        <w:rPr>
          <w:rFonts w:ascii="Arial" w:hAnsi="Arial" w:cs="Arial"/>
          <w:sz w:val="22"/>
          <w:szCs w:val="22"/>
        </w:rPr>
      </w:pPr>
      <w:r w:rsidRPr="00265259">
        <w:rPr>
          <w:rFonts w:ascii="Arial" w:hAnsi="Arial" w:cs="Arial"/>
          <w:sz w:val="22"/>
          <w:szCs w:val="22"/>
        </w:rPr>
        <w:t>QC queueing and retesting delaying batch release.</w:t>
      </w:r>
    </w:p>
    <w:p w14:paraId="37F4DCF2" w14:textId="77777777" w:rsidR="00FC2AEB" w:rsidRPr="00265259" w:rsidRDefault="00FC2AEB" w:rsidP="00265259">
      <w:pPr>
        <w:numPr>
          <w:ilvl w:val="0"/>
          <w:numId w:val="1"/>
        </w:numPr>
        <w:spacing w:after="120" w:line="276" w:lineRule="auto"/>
        <w:jc w:val="both"/>
        <w:rPr>
          <w:rFonts w:ascii="Arial" w:hAnsi="Arial" w:cs="Arial"/>
          <w:sz w:val="22"/>
          <w:szCs w:val="22"/>
        </w:rPr>
      </w:pPr>
      <w:r w:rsidRPr="00265259">
        <w:rPr>
          <w:rFonts w:ascii="Arial" w:hAnsi="Arial" w:cs="Arial"/>
          <w:sz w:val="22"/>
          <w:szCs w:val="22"/>
        </w:rPr>
        <w:t>Documentation gaps and mismatches delaying confirmation of release clearance.</w:t>
      </w:r>
    </w:p>
    <w:p w14:paraId="47CD0F4C" w14:textId="77777777" w:rsidR="00FC2AEB" w:rsidRPr="00265259" w:rsidRDefault="00FC2AEB" w:rsidP="00265259">
      <w:pPr>
        <w:numPr>
          <w:ilvl w:val="0"/>
          <w:numId w:val="1"/>
        </w:numPr>
        <w:spacing w:after="120" w:line="276" w:lineRule="auto"/>
        <w:jc w:val="both"/>
        <w:rPr>
          <w:rFonts w:ascii="Arial" w:hAnsi="Arial" w:cs="Arial"/>
          <w:sz w:val="22"/>
          <w:szCs w:val="22"/>
        </w:rPr>
      </w:pPr>
      <w:r w:rsidRPr="00265259">
        <w:rPr>
          <w:rFonts w:ascii="Arial" w:hAnsi="Arial" w:cs="Arial"/>
          <w:sz w:val="22"/>
          <w:szCs w:val="22"/>
        </w:rPr>
        <w:t>Limited visibility of downstream shipping cut-offs leading to inefficiencies.</w:t>
      </w:r>
    </w:p>
    <w:p w14:paraId="20D0B938" w14:textId="77777777" w:rsidR="00FC2AEB" w:rsidRPr="00265259" w:rsidRDefault="00FC2AEB" w:rsidP="00265259">
      <w:pPr>
        <w:numPr>
          <w:ilvl w:val="0"/>
          <w:numId w:val="1"/>
        </w:numPr>
        <w:spacing w:after="120" w:line="276" w:lineRule="auto"/>
        <w:jc w:val="both"/>
        <w:rPr>
          <w:rFonts w:ascii="Arial" w:hAnsi="Arial" w:cs="Arial"/>
          <w:sz w:val="22"/>
          <w:szCs w:val="22"/>
        </w:rPr>
      </w:pPr>
      <w:r w:rsidRPr="00265259">
        <w:rPr>
          <w:rFonts w:ascii="Arial" w:hAnsi="Arial" w:cs="Arial"/>
          <w:sz w:val="22"/>
          <w:szCs w:val="22"/>
        </w:rPr>
        <w:t>High reliance on air freight as a reactive measure inflating costs and carbon emissions.</w:t>
      </w:r>
    </w:p>
    <w:p w14:paraId="025E4E52" w14:textId="77777777" w:rsidR="00FC2AEB" w:rsidRPr="00265259" w:rsidRDefault="00FC2AEB" w:rsidP="00265259">
      <w:pPr>
        <w:numPr>
          <w:ilvl w:val="0"/>
          <w:numId w:val="1"/>
        </w:numPr>
        <w:spacing w:after="120" w:line="276" w:lineRule="auto"/>
        <w:jc w:val="both"/>
        <w:rPr>
          <w:rFonts w:ascii="Arial" w:hAnsi="Arial" w:cs="Arial"/>
          <w:sz w:val="22"/>
          <w:szCs w:val="22"/>
        </w:rPr>
      </w:pPr>
      <w:r w:rsidRPr="00265259">
        <w:rPr>
          <w:rFonts w:ascii="Arial" w:hAnsi="Arial" w:cs="Arial"/>
          <w:sz w:val="22"/>
          <w:szCs w:val="22"/>
        </w:rPr>
        <w:t>Fragmented accountability between QC, production planning, and forwarding functions obscuring trade-offs.</w:t>
      </w:r>
    </w:p>
    <w:p w14:paraId="76EF635F" w14:textId="77777777" w:rsidR="00FC2AEB" w:rsidRPr="00265259" w:rsidRDefault="00FC2AEB" w:rsidP="00265259">
      <w:pPr>
        <w:numPr>
          <w:ilvl w:val="0"/>
          <w:numId w:val="1"/>
        </w:numPr>
        <w:spacing w:after="120" w:line="276" w:lineRule="auto"/>
        <w:jc w:val="both"/>
        <w:rPr>
          <w:rFonts w:ascii="Arial" w:hAnsi="Arial" w:cs="Arial"/>
          <w:sz w:val="22"/>
          <w:szCs w:val="22"/>
        </w:rPr>
      </w:pPr>
      <w:r w:rsidRPr="00265259">
        <w:rPr>
          <w:rFonts w:ascii="Arial" w:hAnsi="Arial" w:cs="Arial"/>
          <w:sz w:val="22"/>
          <w:szCs w:val="22"/>
        </w:rPr>
        <w:t>Regulatory constraints forbidding test skipping, emphasizing governance and information flow improvements over shortcuts.</w:t>
      </w:r>
    </w:p>
    <w:p w14:paraId="678272A2" w14:textId="2811D4E5" w:rsidR="00BE4340" w:rsidRPr="00265259" w:rsidRDefault="00BE4340" w:rsidP="00265259">
      <w:pPr>
        <w:spacing w:after="120" w:line="276" w:lineRule="auto"/>
        <w:ind w:firstLine="720"/>
        <w:jc w:val="both"/>
        <w:rPr>
          <w:rFonts w:ascii="Arial" w:eastAsia="Times New Roman" w:hAnsi="Arial" w:cs="Arial"/>
          <w:kern w:val="0"/>
          <w:sz w:val="22"/>
          <w:szCs w:val="22"/>
          <w:lang w:eastAsia="en-IN"/>
          <w14:ligatures w14:val="none"/>
        </w:rPr>
      </w:pPr>
      <w:r w:rsidRPr="00265259">
        <w:rPr>
          <w:rFonts w:ascii="Arial" w:eastAsia="Times New Roman" w:hAnsi="Arial" w:cs="Arial"/>
          <w:kern w:val="0"/>
          <w:sz w:val="22"/>
          <w:szCs w:val="22"/>
          <w:lang w:eastAsia="en-IN"/>
          <w14:ligatures w14:val="none"/>
        </w:rPr>
        <w:t>Standards set by airlines and GDP require certain handling and data. Not embedding these causes delays in distribution and compliance risks. Research in the industry says that integrated dashboards, coordinated mode qualifications, and risk-based escalation processes are good ways to fight back.</w:t>
      </w:r>
    </w:p>
    <w:p w14:paraId="3B7CCFD2" w14:textId="034775E5" w:rsidR="00FC2AEB" w:rsidRPr="00230FA3" w:rsidRDefault="00FC2AEB" w:rsidP="00230FA3">
      <w:pPr>
        <w:spacing w:after="120" w:line="276" w:lineRule="auto"/>
        <w:jc w:val="center"/>
        <w:rPr>
          <w:rFonts w:ascii="Arial" w:hAnsi="Arial" w:cs="Arial"/>
          <w:b/>
          <w:bCs/>
          <w:caps/>
          <w:sz w:val="22"/>
          <w:szCs w:val="22"/>
        </w:rPr>
      </w:pPr>
      <w:r w:rsidRPr="00230FA3">
        <w:rPr>
          <w:rFonts w:ascii="Arial" w:hAnsi="Arial" w:cs="Arial"/>
          <w:b/>
          <w:bCs/>
          <w:caps/>
          <w:sz w:val="22"/>
          <w:szCs w:val="22"/>
        </w:rPr>
        <w:t>About the Company</w:t>
      </w:r>
    </w:p>
    <w:p w14:paraId="098FC216" w14:textId="77777777" w:rsidR="00BE4340" w:rsidRP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 xml:space="preserve">Biocon Limited has cutting-edge manufacturing and quality control facilities that have been checked by the USFDA and EMA. These facilities support the export of APIs, formulations, and biosimilars around the world. SIP internship observations </w:t>
      </w:r>
      <w:r w:rsidRPr="00265259">
        <w:rPr>
          <w:rFonts w:ascii="Arial" w:hAnsi="Arial" w:cs="Arial"/>
          <w:sz w:val="22"/>
          <w:szCs w:val="22"/>
        </w:rPr>
        <w:lastRenderedPageBreak/>
        <w:t xml:space="preserve">showed that QC release time variability put some SKUs' sea freight schedules at risk, which often meant costly air freight uplifts and associated demurrage costs. </w:t>
      </w:r>
    </w:p>
    <w:p w14:paraId="6E649B8C" w14:textId="77777777" w:rsidR="00BE4340" w:rsidRP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 xml:space="preserve">The company's compliance and quality management systems are strong, but there is room for improvement in making release timing more predictable and planning for the future. A cross-functional, lane-risk-based operating system that shows the real-time QC status and lets you book forward on qualified sea lanes can cut down on firewall exceptions to air freight without losing regulatory assurance. </w:t>
      </w:r>
    </w:p>
    <w:p w14:paraId="6E3DF27A" w14:textId="304F545F" w:rsidR="00BE4340" w:rsidRP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Adding GDP and ICH Q10 practices to digital dashboards and tiered review meetings makes learning loops in the organization. This helps to keep lowering release variance and makes more SKUs eligible for sea shipments.</w:t>
      </w:r>
    </w:p>
    <w:p w14:paraId="749C9EE0" w14:textId="77777777" w:rsidR="00FC2AEB" w:rsidRPr="00265259" w:rsidRDefault="00FC2AEB" w:rsidP="00265259">
      <w:pPr>
        <w:spacing w:after="120" w:line="276" w:lineRule="auto"/>
        <w:jc w:val="both"/>
        <w:rPr>
          <w:rFonts w:ascii="Arial" w:hAnsi="Arial" w:cs="Arial"/>
          <w:b/>
          <w:bCs/>
          <w:sz w:val="22"/>
          <w:szCs w:val="22"/>
        </w:rPr>
      </w:pPr>
      <w:r w:rsidRPr="00265259">
        <w:rPr>
          <w:rFonts w:ascii="Arial" w:hAnsi="Arial" w:cs="Arial"/>
          <w:b/>
          <w:bCs/>
          <w:sz w:val="22"/>
          <w:szCs w:val="22"/>
        </w:rPr>
        <w:t>Problems Faced by the Company</w:t>
      </w:r>
    </w:p>
    <w:p w14:paraId="3787FC4C" w14:textId="77777777" w:rsidR="00FC2AEB" w:rsidRPr="00265259" w:rsidRDefault="00FC2AEB" w:rsidP="00265259">
      <w:pPr>
        <w:spacing w:after="120" w:line="276" w:lineRule="auto"/>
        <w:ind w:firstLine="720"/>
        <w:jc w:val="both"/>
        <w:rPr>
          <w:rFonts w:ascii="Arial" w:hAnsi="Arial" w:cs="Arial"/>
          <w:sz w:val="22"/>
          <w:szCs w:val="22"/>
        </w:rPr>
      </w:pPr>
      <w:r w:rsidRPr="00265259">
        <w:rPr>
          <w:rFonts w:ascii="Arial" w:hAnsi="Arial" w:cs="Arial"/>
          <w:sz w:val="22"/>
          <w:szCs w:val="22"/>
        </w:rPr>
        <w:t>At Biocon, several operational challenges persist:</w:t>
      </w:r>
    </w:p>
    <w:p w14:paraId="76E6D270" w14:textId="77777777" w:rsidR="00FC2AEB" w:rsidRPr="00265259" w:rsidRDefault="00FC2AEB" w:rsidP="00265259">
      <w:pPr>
        <w:numPr>
          <w:ilvl w:val="0"/>
          <w:numId w:val="2"/>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Delayed QC releases for export-critical SKUs frequently force last-minute diversions to air freight, raising direct logistics costs and indirectly increasing carbon footprints, impacting ESG targets.</w:t>
      </w:r>
    </w:p>
    <w:p w14:paraId="102402EF" w14:textId="77777777" w:rsidR="00FC2AEB" w:rsidRPr="00265259" w:rsidRDefault="00FC2AEB" w:rsidP="00265259">
      <w:pPr>
        <w:numPr>
          <w:ilvl w:val="0"/>
          <w:numId w:val="2"/>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Small batch sizes diminish sea freight payload utilization efficiency, inflating per-unit costs.</w:t>
      </w:r>
    </w:p>
    <w:p w14:paraId="50914232" w14:textId="77777777" w:rsidR="00FC2AEB" w:rsidRPr="00265259" w:rsidRDefault="00FC2AEB" w:rsidP="00265259">
      <w:pPr>
        <w:numPr>
          <w:ilvl w:val="0"/>
          <w:numId w:val="2"/>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Uneven release-status visibility and lack of structured forward lane slotting limit the ability to pre-position shipments optimally.</w:t>
      </w:r>
    </w:p>
    <w:p w14:paraId="6FA55AEB" w14:textId="77777777" w:rsidR="00FC2AEB" w:rsidRPr="00265259" w:rsidRDefault="00FC2AEB" w:rsidP="00265259">
      <w:pPr>
        <w:numPr>
          <w:ilvl w:val="0"/>
          <w:numId w:val="2"/>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Governance gaps including unclear risk escalation thresholds, inconsistent dashboard metrics, and ad hoc mode switches reduce overall shipment predictability.</w:t>
      </w:r>
    </w:p>
    <w:p w14:paraId="359DD2A5" w14:textId="77777777" w:rsidR="00FC2AEB" w:rsidRPr="00265259" w:rsidRDefault="00FC2AEB" w:rsidP="00265259">
      <w:pPr>
        <w:numPr>
          <w:ilvl w:val="0"/>
          <w:numId w:val="2"/>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 xml:space="preserve">Coordination gaps between QC, production planning, and logistics </w:t>
      </w:r>
      <w:r w:rsidRPr="00265259">
        <w:rPr>
          <w:rFonts w:ascii="Arial" w:hAnsi="Arial" w:cs="Arial"/>
          <w:sz w:val="22"/>
          <w:szCs w:val="22"/>
        </w:rPr>
        <w:t>exacerbate uncertainty and reactive decisions.</w:t>
      </w:r>
    </w:p>
    <w:p w14:paraId="57C7C59E" w14:textId="5CFFF315" w:rsidR="00FC2AEB" w:rsidRPr="00265259" w:rsidRDefault="00FC2AEB" w:rsidP="00265259">
      <w:pPr>
        <w:spacing w:after="120" w:line="276" w:lineRule="auto"/>
        <w:jc w:val="both"/>
        <w:rPr>
          <w:rFonts w:ascii="Arial" w:hAnsi="Arial" w:cs="Arial"/>
          <w:sz w:val="22"/>
          <w:szCs w:val="22"/>
        </w:rPr>
      </w:pPr>
      <w:r w:rsidRPr="00265259">
        <w:rPr>
          <w:rFonts w:ascii="Arial" w:hAnsi="Arial" w:cs="Arial"/>
          <w:sz w:val="22"/>
          <w:szCs w:val="22"/>
        </w:rPr>
        <w:t>Codifying risk-based escalation policies and aligning shared KPIs across departments are necessary to stabilize export performance and optimize logistics cost and environmental outcomes.</w:t>
      </w:r>
    </w:p>
    <w:p w14:paraId="25F52F52" w14:textId="77777777" w:rsidR="00FC2AEB" w:rsidRPr="00230FA3" w:rsidRDefault="00FC2AEB" w:rsidP="00230FA3">
      <w:pPr>
        <w:spacing w:after="120" w:line="276" w:lineRule="auto"/>
        <w:jc w:val="center"/>
        <w:rPr>
          <w:rFonts w:ascii="Arial" w:hAnsi="Arial" w:cs="Arial"/>
          <w:b/>
          <w:bCs/>
          <w:caps/>
          <w:sz w:val="22"/>
          <w:szCs w:val="22"/>
        </w:rPr>
      </w:pPr>
      <w:r w:rsidRPr="00230FA3">
        <w:rPr>
          <w:rFonts w:ascii="Arial" w:hAnsi="Arial" w:cs="Arial"/>
          <w:b/>
          <w:bCs/>
          <w:caps/>
          <w:sz w:val="22"/>
          <w:szCs w:val="22"/>
        </w:rPr>
        <w:t>Academic Learning</w:t>
      </w:r>
    </w:p>
    <w:p w14:paraId="4A251D01" w14:textId="77777777" w:rsidR="00FC2AEB" w:rsidRPr="00265259" w:rsidRDefault="00FC2AEB" w:rsidP="00265259">
      <w:pPr>
        <w:spacing w:after="120" w:line="276" w:lineRule="auto"/>
        <w:ind w:firstLine="720"/>
        <w:jc w:val="both"/>
        <w:rPr>
          <w:rFonts w:ascii="Arial" w:hAnsi="Arial" w:cs="Arial"/>
          <w:sz w:val="22"/>
          <w:szCs w:val="22"/>
        </w:rPr>
      </w:pPr>
      <w:r w:rsidRPr="00265259">
        <w:rPr>
          <w:rFonts w:ascii="Arial" w:hAnsi="Arial" w:cs="Arial"/>
          <w:sz w:val="22"/>
          <w:szCs w:val="22"/>
        </w:rPr>
        <w:t>This case integrates quality-system thinking with logistics and supply chain design to develop critical managerial skills:</w:t>
      </w:r>
    </w:p>
    <w:p w14:paraId="0CD67C65" w14:textId="77777777" w:rsidR="00FC2AEB" w:rsidRPr="00265259" w:rsidRDefault="00FC2AEB" w:rsidP="00265259">
      <w:pPr>
        <w:numPr>
          <w:ilvl w:val="0"/>
          <w:numId w:val="3"/>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Mapping how cGMP and ICH Q10 frameworks guide batch release process structures, emphasizing that skipping tests is neither permissible nor sustainable.</w:t>
      </w:r>
    </w:p>
    <w:p w14:paraId="1B6ED7AE" w14:textId="77777777" w:rsidR="00FC2AEB" w:rsidRPr="00265259" w:rsidRDefault="00FC2AEB" w:rsidP="00265259">
      <w:pPr>
        <w:numPr>
          <w:ilvl w:val="0"/>
          <w:numId w:val="3"/>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Translating GDP and airline TCR standards into lane qualification and documentation controls safeguarding product integrity while enabling cost-effective sea shipment.</w:t>
      </w:r>
    </w:p>
    <w:p w14:paraId="0654EF67" w14:textId="77777777" w:rsidR="00FC2AEB" w:rsidRPr="00265259" w:rsidRDefault="00FC2AEB" w:rsidP="00265259">
      <w:pPr>
        <w:numPr>
          <w:ilvl w:val="0"/>
          <w:numId w:val="3"/>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Designing comprehensive KPI dashboards that visualize QC TAT distributions and correlate them with mode selection, demurrage costs, and payload metrics.</w:t>
      </w:r>
    </w:p>
    <w:p w14:paraId="0370F6F2" w14:textId="77777777" w:rsidR="00FC2AEB" w:rsidRPr="00265259" w:rsidRDefault="00FC2AEB" w:rsidP="00265259">
      <w:pPr>
        <w:numPr>
          <w:ilvl w:val="0"/>
          <w:numId w:val="3"/>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Developing risk-based mode policies and operational playbooks defining escalation paths, accountability, and continuous improvement routines.</w:t>
      </w:r>
    </w:p>
    <w:p w14:paraId="65C47924" w14:textId="1B24B8BD" w:rsidR="00FC2AEB" w:rsidRPr="00265259" w:rsidRDefault="00FC2AEB" w:rsidP="00265259">
      <w:pPr>
        <w:spacing w:after="120" w:line="276" w:lineRule="auto"/>
        <w:ind w:firstLine="720"/>
        <w:jc w:val="both"/>
        <w:rPr>
          <w:rFonts w:ascii="Arial" w:hAnsi="Arial" w:cs="Arial"/>
          <w:sz w:val="22"/>
          <w:szCs w:val="22"/>
        </w:rPr>
      </w:pPr>
      <w:r w:rsidRPr="00265259">
        <w:rPr>
          <w:rFonts w:ascii="Arial" w:hAnsi="Arial" w:cs="Arial"/>
          <w:sz w:val="22"/>
          <w:szCs w:val="22"/>
        </w:rPr>
        <w:t>Students produce artifacts including risk policies, operational dashboards, and cadence plans connecting operational discipline with financial and sustainability outcomes.</w:t>
      </w:r>
    </w:p>
    <w:p w14:paraId="3D6853E9" w14:textId="77777777" w:rsidR="00FC2AEB" w:rsidRPr="00265259" w:rsidRDefault="00FC2AEB" w:rsidP="00265259">
      <w:pPr>
        <w:spacing w:after="120" w:line="276" w:lineRule="auto"/>
        <w:jc w:val="center"/>
        <w:rPr>
          <w:rFonts w:ascii="Arial" w:hAnsi="Arial" w:cs="Arial"/>
          <w:b/>
          <w:bCs/>
          <w:caps/>
          <w:sz w:val="22"/>
          <w:szCs w:val="22"/>
        </w:rPr>
      </w:pPr>
      <w:r w:rsidRPr="00265259">
        <w:rPr>
          <w:rFonts w:ascii="Arial" w:hAnsi="Arial" w:cs="Arial"/>
          <w:b/>
          <w:bCs/>
          <w:caps/>
          <w:sz w:val="22"/>
          <w:szCs w:val="22"/>
        </w:rPr>
        <w:t>Conclusion</w:t>
      </w:r>
    </w:p>
    <w:p w14:paraId="7918CF61" w14:textId="77777777" w:rsidR="00BE4340" w:rsidRP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 xml:space="preserve">Optimizing shipment modes in pharmaceutical supply chains is basically a problem with the reliability of quality systems. Companies can slowly move transport volumes from expensive air freight back to sensitive and viable sea routes without weakening assurance or </w:t>
      </w:r>
      <w:r w:rsidRPr="00265259">
        <w:rPr>
          <w:rFonts w:ascii="Arial" w:hAnsi="Arial" w:cs="Arial"/>
          <w:sz w:val="22"/>
          <w:szCs w:val="22"/>
        </w:rPr>
        <w:lastRenderedPageBreak/>
        <w:t xml:space="preserve">compliance by lowering release time variance, syncing quality gates with shipment cut-offs, and qualifying sea lanes through strong governance. </w:t>
      </w:r>
    </w:p>
    <w:p w14:paraId="2B4C0C63" w14:textId="360857B0" w:rsidR="00BE4340" w:rsidRPr="00265259" w:rsidRDefault="00BE4340" w:rsidP="00265259">
      <w:pPr>
        <w:spacing w:after="120" w:line="276" w:lineRule="auto"/>
        <w:ind w:firstLine="720"/>
        <w:jc w:val="both"/>
        <w:rPr>
          <w:rFonts w:ascii="Arial" w:hAnsi="Arial" w:cs="Arial"/>
          <w:sz w:val="22"/>
          <w:szCs w:val="22"/>
        </w:rPr>
      </w:pPr>
      <w:r w:rsidRPr="00265259">
        <w:rPr>
          <w:rFonts w:ascii="Arial" w:hAnsi="Arial" w:cs="Arial"/>
          <w:sz w:val="22"/>
          <w:szCs w:val="22"/>
        </w:rPr>
        <w:t>Adding GDP and ICH Q10 best practices to dashboards and tiered review cadences makes batch flows more predictable, makes better use of payloads, and helps with sustainability goals by lowering carbon exposure. Biocon can turn air freight use from an exception to a controlled norm by using codified risk policies, clear forward bookings, and shared KPIs. This will improve both the economy and the environment.</w:t>
      </w:r>
    </w:p>
    <w:p w14:paraId="3871791D" w14:textId="77777777" w:rsidR="00FC2AEB" w:rsidRPr="00265259" w:rsidRDefault="00FC2AEB" w:rsidP="00265259">
      <w:pPr>
        <w:spacing w:after="120" w:line="276" w:lineRule="auto"/>
        <w:jc w:val="center"/>
        <w:rPr>
          <w:rFonts w:ascii="Arial" w:hAnsi="Arial" w:cs="Arial"/>
          <w:b/>
          <w:bCs/>
          <w:caps/>
          <w:sz w:val="22"/>
          <w:szCs w:val="22"/>
        </w:rPr>
      </w:pPr>
      <w:r w:rsidRPr="00265259">
        <w:rPr>
          <w:rFonts w:ascii="Arial" w:hAnsi="Arial" w:cs="Arial"/>
          <w:b/>
          <w:bCs/>
          <w:caps/>
          <w:sz w:val="22"/>
          <w:szCs w:val="22"/>
        </w:rPr>
        <w:t>Case Questions</w:t>
      </w:r>
    </w:p>
    <w:p w14:paraId="7440329C" w14:textId="77777777" w:rsidR="00FC2AEB" w:rsidRPr="00265259" w:rsidRDefault="00FC2AEB" w:rsidP="00265259">
      <w:pPr>
        <w:numPr>
          <w:ilvl w:val="0"/>
          <w:numId w:val="4"/>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Design a QC-to-shipment dashboard: What data fields, update frequencies, and responsible owner actions would ensure informed, timely decision making?</w:t>
      </w:r>
    </w:p>
    <w:p w14:paraId="5DE28C25" w14:textId="77777777" w:rsidR="00FC2AEB" w:rsidRPr="00265259" w:rsidRDefault="00FC2AEB" w:rsidP="00265259">
      <w:pPr>
        <w:numPr>
          <w:ilvl w:val="0"/>
          <w:numId w:val="4"/>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Draft a risk-based shipment mode policy that links QC TAT distributions to air-vs-</w:t>
      </w:r>
      <w:proofErr w:type="spellStart"/>
      <w:r w:rsidRPr="00265259">
        <w:rPr>
          <w:rFonts w:ascii="Arial" w:hAnsi="Arial" w:cs="Arial"/>
          <w:sz w:val="22"/>
          <w:szCs w:val="22"/>
        </w:rPr>
        <w:t>sea</w:t>
      </w:r>
      <w:proofErr w:type="spellEnd"/>
      <w:r w:rsidRPr="00265259">
        <w:rPr>
          <w:rFonts w:ascii="Arial" w:hAnsi="Arial" w:cs="Arial"/>
          <w:sz w:val="22"/>
          <w:szCs w:val="22"/>
        </w:rPr>
        <w:t xml:space="preserve"> mode choice with clearly defined escalation thresholds.</w:t>
      </w:r>
    </w:p>
    <w:p w14:paraId="572762D9" w14:textId="77777777" w:rsidR="00FC2AEB" w:rsidRPr="00265259" w:rsidRDefault="00FC2AEB" w:rsidP="00265259">
      <w:pPr>
        <w:numPr>
          <w:ilvl w:val="0"/>
          <w:numId w:val="4"/>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Specify lane qualification and documentation controls that preserve GDP compliance while expanding sea freight eligibility.</w:t>
      </w:r>
    </w:p>
    <w:p w14:paraId="56CA456C" w14:textId="38F26552" w:rsidR="00FC2AEB" w:rsidRPr="00265259" w:rsidRDefault="00FC2AEB" w:rsidP="00265259">
      <w:pPr>
        <w:numPr>
          <w:ilvl w:val="0"/>
          <w:numId w:val="4"/>
        </w:numPr>
        <w:tabs>
          <w:tab w:val="clear" w:pos="720"/>
        </w:tabs>
        <w:spacing w:after="120" w:line="276" w:lineRule="auto"/>
        <w:ind w:left="360"/>
        <w:jc w:val="both"/>
        <w:rPr>
          <w:rFonts w:ascii="Arial" w:hAnsi="Arial" w:cs="Arial"/>
          <w:sz w:val="22"/>
          <w:szCs w:val="22"/>
        </w:rPr>
      </w:pPr>
      <w:r w:rsidRPr="00265259">
        <w:rPr>
          <w:rFonts w:ascii="Arial" w:hAnsi="Arial" w:cs="Arial"/>
          <w:sz w:val="22"/>
          <w:szCs w:val="22"/>
        </w:rPr>
        <w:t>Propose key KPIs and review routines that align QC, production planning, and forwarding teams around predictable release and mode-mix decisions.</w:t>
      </w:r>
    </w:p>
    <w:p w14:paraId="28D61CD9" w14:textId="60790CA1" w:rsidR="00FC2AEB" w:rsidRPr="00265259" w:rsidRDefault="00FC2AEB" w:rsidP="00265259">
      <w:pPr>
        <w:spacing w:after="120" w:line="276" w:lineRule="auto"/>
        <w:jc w:val="center"/>
        <w:rPr>
          <w:rFonts w:ascii="Arial" w:hAnsi="Arial" w:cs="Arial"/>
          <w:b/>
          <w:bCs/>
          <w:caps/>
          <w:sz w:val="22"/>
          <w:szCs w:val="22"/>
        </w:rPr>
      </w:pPr>
      <w:r w:rsidRPr="00265259">
        <w:rPr>
          <w:rFonts w:ascii="Arial" w:hAnsi="Arial" w:cs="Arial"/>
          <w:b/>
          <w:bCs/>
          <w:caps/>
          <w:sz w:val="22"/>
          <w:szCs w:val="22"/>
        </w:rPr>
        <w:t>References</w:t>
      </w:r>
    </w:p>
    <w:p w14:paraId="391D77CA" w14:textId="77777777" w:rsidR="00FC2AEB" w:rsidRPr="00265259" w:rsidRDefault="00FC2AEB" w:rsidP="00905DAA">
      <w:pPr>
        <w:spacing w:after="120" w:line="276" w:lineRule="auto"/>
        <w:ind w:left="720" w:hanging="630"/>
        <w:jc w:val="both"/>
        <w:rPr>
          <w:rFonts w:ascii="Arial" w:hAnsi="Arial" w:cs="Arial"/>
          <w:sz w:val="22"/>
          <w:szCs w:val="22"/>
        </w:rPr>
      </w:pPr>
      <w:proofErr w:type="spellStart"/>
      <w:r w:rsidRPr="00265259">
        <w:rPr>
          <w:rFonts w:ascii="Arial" w:hAnsi="Arial" w:cs="Arial"/>
          <w:sz w:val="22"/>
          <w:szCs w:val="22"/>
        </w:rPr>
        <w:t>Bhoomikaa</w:t>
      </w:r>
      <w:proofErr w:type="spellEnd"/>
      <w:r w:rsidRPr="00265259">
        <w:rPr>
          <w:rFonts w:ascii="Arial" w:hAnsi="Arial" w:cs="Arial"/>
          <w:sz w:val="22"/>
          <w:szCs w:val="22"/>
        </w:rPr>
        <w:t>, B. (2025). Optimizing shipment mode amid QC delays (Unpublished manuscript).</w:t>
      </w:r>
    </w:p>
    <w:p w14:paraId="3A895ABF" w14:textId="77777777" w:rsidR="00FC2AEB" w:rsidRPr="00265259" w:rsidRDefault="00FC2AEB" w:rsidP="00905DAA">
      <w:pPr>
        <w:spacing w:after="120" w:line="276" w:lineRule="auto"/>
        <w:ind w:left="720" w:hanging="630"/>
        <w:jc w:val="both"/>
        <w:rPr>
          <w:rFonts w:ascii="Arial" w:hAnsi="Arial" w:cs="Arial"/>
          <w:sz w:val="22"/>
          <w:szCs w:val="22"/>
        </w:rPr>
      </w:pPr>
      <w:r w:rsidRPr="00265259">
        <w:rPr>
          <w:rFonts w:ascii="Arial" w:hAnsi="Arial" w:cs="Arial"/>
          <w:sz w:val="22"/>
          <w:szCs w:val="22"/>
        </w:rPr>
        <w:t>European Commission. (2013). Guidelines on Good Distribution Practice of Medicinal Products for Human Use (2013/C 343/01). </w:t>
      </w:r>
      <w:hyperlink r:id="rId10" w:tgtFrame="_blank" w:history="1">
        <w:r w:rsidRPr="00265259">
          <w:rPr>
            <w:rStyle w:val="Hyperlink"/>
            <w:rFonts w:ascii="Arial" w:hAnsi="Arial" w:cs="Arial"/>
            <w:b/>
            <w:bCs/>
            <w:sz w:val="22"/>
            <w:szCs w:val="22"/>
          </w:rPr>
          <w:t>https://eur-lex.europa.eu</w:t>
        </w:r>
      </w:hyperlink>
    </w:p>
    <w:p w14:paraId="426B2D79" w14:textId="77777777" w:rsidR="00FC2AEB" w:rsidRPr="00265259" w:rsidRDefault="00FC2AEB" w:rsidP="00905DAA">
      <w:pPr>
        <w:spacing w:after="120" w:line="276" w:lineRule="auto"/>
        <w:ind w:left="720" w:hanging="630"/>
        <w:jc w:val="both"/>
        <w:rPr>
          <w:rFonts w:ascii="Arial" w:hAnsi="Arial" w:cs="Arial"/>
          <w:sz w:val="22"/>
          <w:szCs w:val="22"/>
        </w:rPr>
      </w:pPr>
      <w:r w:rsidRPr="00265259">
        <w:rPr>
          <w:rFonts w:ascii="Arial" w:hAnsi="Arial" w:cs="Arial"/>
          <w:sz w:val="22"/>
          <w:szCs w:val="22"/>
        </w:rPr>
        <w:t>International Air Transport Association (IATA). (2022). Temperature Control Regulations (TCR). </w:t>
      </w:r>
      <w:hyperlink r:id="rId11" w:tgtFrame="_blank" w:history="1">
        <w:r w:rsidRPr="00265259">
          <w:rPr>
            <w:rStyle w:val="Hyperlink"/>
            <w:rFonts w:ascii="Arial" w:hAnsi="Arial" w:cs="Arial"/>
            <w:b/>
            <w:bCs/>
            <w:sz w:val="22"/>
            <w:szCs w:val="22"/>
          </w:rPr>
          <w:t>https://www.iata.org</w:t>
        </w:r>
      </w:hyperlink>
    </w:p>
    <w:p w14:paraId="24BC5DDD" w14:textId="77777777" w:rsidR="00FC2AEB" w:rsidRPr="00265259" w:rsidRDefault="00FC2AEB" w:rsidP="00905DAA">
      <w:pPr>
        <w:spacing w:after="120" w:line="276" w:lineRule="auto"/>
        <w:ind w:left="720" w:hanging="630"/>
        <w:jc w:val="both"/>
        <w:rPr>
          <w:rFonts w:ascii="Arial" w:hAnsi="Arial" w:cs="Arial"/>
          <w:sz w:val="22"/>
          <w:szCs w:val="22"/>
        </w:rPr>
      </w:pPr>
      <w:r w:rsidRPr="00265259">
        <w:rPr>
          <w:rFonts w:ascii="Arial" w:hAnsi="Arial" w:cs="Arial"/>
          <w:sz w:val="22"/>
          <w:szCs w:val="22"/>
        </w:rPr>
        <w:t>U.S. Food and Drug Administration (FDA). (2023). Current Good Manufacturing Practice (cGMP) regulations. </w:t>
      </w:r>
      <w:hyperlink r:id="rId12" w:tgtFrame="_blank" w:history="1">
        <w:r w:rsidRPr="00265259">
          <w:rPr>
            <w:rStyle w:val="Hyperlink"/>
            <w:rFonts w:ascii="Arial" w:hAnsi="Arial" w:cs="Arial"/>
            <w:b/>
            <w:bCs/>
            <w:sz w:val="22"/>
            <w:szCs w:val="22"/>
          </w:rPr>
          <w:t>https://www.fda.gov</w:t>
        </w:r>
      </w:hyperlink>
    </w:p>
    <w:p w14:paraId="6969B821" w14:textId="77777777" w:rsidR="00FC2AEB" w:rsidRPr="00265259" w:rsidRDefault="00FC2AEB" w:rsidP="00905DAA">
      <w:pPr>
        <w:spacing w:after="120" w:line="276" w:lineRule="auto"/>
        <w:ind w:left="720" w:hanging="630"/>
        <w:jc w:val="both"/>
        <w:rPr>
          <w:rFonts w:ascii="Arial" w:hAnsi="Arial" w:cs="Arial"/>
          <w:sz w:val="22"/>
          <w:szCs w:val="22"/>
        </w:rPr>
      </w:pPr>
      <w:r w:rsidRPr="00265259">
        <w:rPr>
          <w:rFonts w:ascii="Arial" w:hAnsi="Arial" w:cs="Arial"/>
          <w:sz w:val="22"/>
          <w:szCs w:val="22"/>
        </w:rPr>
        <w:t>World Health Organization (WHO). (2023). Pharmaceutical Quality Assurance Guidelines. </w:t>
      </w:r>
      <w:hyperlink r:id="rId13" w:tgtFrame="_blank" w:history="1">
        <w:r w:rsidRPr="00265259">
          <w:rPr>
            <w:rStyle w:val="Hyperlink"/>
            <w:rFonts w:ascii="Arial" w:hAnsi="Arial" w:cs="Arial"/>
            <w:b/>
            <w:bCs/>
            <w:sz w:val="22"/>
            <w:szCs w:val="22"/>
          </w:rPr>
          <w:t>https://www.who.int</w:t>
        </w:r>
      </w:hyperlink>
    </w:p>
    <w:p w14:paraId="17C9C9D2" w14:textId="77777777" w:rsidR="00FC2AEB" w:rsidRDefault="00FC2AEB" w:rsidP="00905DAA">
      <w:pPr>
        <w:spacing w:after="120" w:line="276" w:lineRule="auto"/>
        <w:ind w:left="720" w:hanging="630"/>
        <w:jc w:val="both"/>
        <w:rPr>
          <w:rFonts w:ascii="Arial" w:hAnsi="Arial" w:cs="Arial"/>
          <w:sz w:val="22"/>
          <w:szCs w:val="22"/>
        </w:rPr>
      </w:pPr>
      <w:r w:rsidRPr="00265259">
        <w:rPr>
          <w:rFonts w:ascii="Arial" w:hAnsi="Arial" w:cs="Arial"/>
          <w:sz w:val="22"/>
          <w:szCs w:val="22"/>
        </w:rPr>
        <w:t>International Council for Harmonisation (ICH). (2022). Guideline Q10 Pharmaceutical Quality System. </w:t>
      </w:r>
      <w:hyperlink r:id="rId14" w:tgtFrame="_blank" w:history="1">
        <w:r w:rsidRPr="00265259">
          <w:rPr>
            <w:rStyle w:val="Hyperlink"/>
            <w:rFonts w:ascii="Arial" w:hAnsi="Arial" w:cs="Arial"/>
            <w:b/>
            <w:bCs/>
            <w:sz w:val="22"/>
            <w:szCs w:val="22"/>
          </w:rPr>
          <w:t>https://www.ich.org</w:t>
        </w:r>
      </w:hyperlink>
    </w:p>
    <w:p w14:paraId="553278A1" w14:textId="77777777" w:rsidR="00265259" w:rsidRDefault="00265259" w:rsidP="00905DAA">
      <w:pPr>
        <w:spacing w:after="120" w:line="276" w:lineRule="auto"/>
        <w:ind w:left="720" w:hanging="630"/>
        <w:jc w:val="both"/>
        <w:rPr>
          <w:rFonts w:ascii="Arial" w:hAnsi="Arial" w:cs="Arial"/>
          <w:sz w:val="22"/>
          <w:szCs w:val="22"/>
        </w:rPr>
      </w:pPr>
    </w:p>
    <w:p w14:paraId="38C5F38A" w14:textId="77777777" w:rsidR="00265259" w:rsidRDefault="00265259" w:rsidP="00265259">
      <w:pPr>
        <w:spacing w:after="120" w:line="276" w:lineRule="auto"/>
        <w:jc w:val="both"/>
        <w:rPr>
          <w:rFonts w:ascii="Arial" w:hAnsi="Arial" w:cs="Arial"/>
          <w:sz w:val="22"/>
          <w:szCs w:val="22"/>
        </w:rPr>
      </w:pPr>
    </w:p>
    <w:p w14:paraId="762E6D43" w14:textId="77777777" w:rsidR="00265259" w:rsidRDefault="00265259" w:rsidP="00265259">
      <w:pPr>
        <w:spacing w:after="120" w:line="276" w:lineRule="auto"/>
        <w:jc w:val="both"/>
        <w:rPr>
          <w:rFonts w:ascii="Arial" w:hAnsi="Arial" w:cs="Arial"/>
          <w:sz w:val="22"/>
          <w:szCs w:val="22"/>
        </w:rPr>
      </w:pPr>
    </w:p>
    <w:p w14:paraId="41B51F92" w14:textId="77777777" w:rsidR="00265259" w:rsidRDefault="00265259" w:rsidP="00265259">
      <w:pPr>
        <w:spacing w:after="120" w:line="276" w:lineRule="auto"/>
        <w:jc w:val="both"/>
        <w:rPr>
          <w:rFonts w:ascii="Arial" w:hAnsi="Arial" w:cs="Arial"/>
          <w:sz w:val="22"/>
          <w:szCs w:val="22"/>
        </w:rPr>
      </w:pPr>
    </w:p>
    <w:p w14:paraId="27D60468" w14:textId="77777777" w:rsidR="00265259" w:rsidRDefault="00265259" w:rsidP="00265259">
      <w:pPr>
        <w:spacing w:after="120" w:line="276" w:lineRule="auto"/>
        <w:jc w:val="both"/>
        <w:rPr>
          <w:rFonts w:ascii="Arial" w:hAnsi="Arial" w:cs="Arial"/>
          <w:sz w:val="22"/>
          <w:szCs w:val="22"/>
        </w:rPr>
      </w:pPr>
    </w:p>
    <w:p w14:paraId="70B69F04" w14:textId="77777777" w:rsidR="00265259" w:rsidRDefault="00265259" w:rsidP="00265259">
      <w:pPr>
        <w:spacing w:after="120" w:line="276" w:lineRule="auto"/>
        <w:jc w:val="both"/>
        <w:rPr>
          <w:rFonts w:ascii="Arial" w:hAnsi="Arial" w:cs="Arial"/>
          <w:sz w:val="22"/>
          <w:szCs w:val="22"/>
        </w:rPr>
      </w:pPr>
    </w:p>
    <w:p w14:paraId="685BA1B9" w14:textId="77777777" w:rsidR="00265259" w:rsidRDefault="00265259" w:rsidP="00265259">
      <w:pPr>
        <w:spacing w:after="120" w:line="276" w:lineRule="auto"/>
        <w:jc w:val="both"/>
        <w:rPr>
          <w:rFonts w:ascii="Arial" w:hAnsi="Arial" w:cs="Arial"/>
          <w:sz w:val="22"/>
          <w:szCs w:val="22"/>
        </w:rPr>
      </w:pPr>
    </w:p>
    <w:p w14:paraId="3729A2F7" w14:textId="77777777" w:rsidR="00265259" w:rsidRDefault="00265259" w:rsidP="00265259">
      <w:pPr>
        <w:spacing w:after="120" w:line="276" w:lineRule="auto"/>
        <w:jc w:val="both"/>
        <w:rPr>
          <w:rFonts w:ascii="Arial" w:hAnsi="Arial" w:cs="Arial"/>
          <w:sz w:val="22"/>
          <w:szCs w:val="22"/>
        </w:rPr>
      </w:pPr>
    </w:p>
    <w:p w14:paraId="4E973F5B" w14:textId="77777777" w:rsidR="00265259" w:rsidRDefault="00265259" w:rsidP="00265259">
      <w:pPr>
        <w:spacing w:after="120" w:line="276" w:lineRule="auto"/>
        <w:jc w:val="both"/>
        <w:rPr>
          <w:rFonts w:ascii="Arial" w:hAnsi="Arial" w:cs="Arial"/>
          <w:sz w:val="22"/>
          <w:szCs w:val="22"/>
        </w:rPr>
      </w:pPr>
    </w:p>
    <w:p w14:paraId="41D8A7F6" w14:textId="77777777" w:rsidR="00265259" w:rsidRDefault="00265259" w:rsidP="00265259">
      <w:pPr>
        <w:spacing w:after="120" w:line="276" w:lineRule="auto"/>
        <w:jc w:val="both"/>
        <w:rPr>
          <w:rFonts w:ascii="Arial" w:hAnsi="Arial" w:cs="Arial"/>
          <w:sz w:val="22"/>
          <w:szCs w:val="22"/>
        </w:rPr>
      </w:pPr>
    </w:p>
    <w:p w14:paraId="198121C9" w14:textId="77777777" w:rsidR="00265259" w:rsidRDefault="00265259" w:rsidP="00265259">
      <w:pPr>
        <w:spacing w:after="120" w:line="276" w:lineRule="auto"/>
        <w:jc w:val="both"/>
        <w:rPr>
          <w:rFonts w:ascii="Arial" w:hAnsi="Arial" w:cs="Arial"/>
          <w:sz w:val="22"/>
          <w:szCs w:val="22"/>
        </w:rPr>
      </w:pPr>
    </w:p>
    <w:p w14:paraId="531244D9" w14:textId="77777777" w:rsidR="00265259" w:rsidRDefault="00265259" w:rsidP="00265259">
      <w:pPr>
        <w:spacing w:after="120" w:line="276" w:lineRule="auto"/>
        <w:jc w:val="both"/>
        <w:rPr>
          <w:rFonts w:ascii="Arial" w:hAnsi="Arial" w:cs="Arial"/>
          <w:sz w:val="22"/>
          <w:szCs w:val="22"/>
        </w:rPr>
      </w:pPr>
    </w:p>
    <w:p w14:paraId="26F34FBD" w14:textId="77777777" w:rsidR="00265259" w:rsidRPr="00265259" w:rsidRDefault="00265259" w:rsidP="00265259">
      <w:pPr>
        <w:spacing w:after="120" w:line="276" w:lineRule="auto"/>
        <w:jc w:val="both"/>
        <w:rPr>
          <w:rFonts w:ascii="Arial" w:hAnsi="Arial" w:cs="Arial"/>
          <w:sz w:val="22"/>
          <w:szCs w:val="22"/>
        </w:rPr>
      </w:pPr>
    </w:p>
    <w:p w14:paraId="5B136AC6" w14:textId="77777777" w:rsidR="00265259" w:rsidRDefault="00265259" w:rsidP="00FC2AEB">
      <w:pPr>
        <w:jc w:val="both"/>
        <w:rPr>
          <w:rFonts w:ascii="Times New Roman" w:hAnsi="Times New Roman" w:cs="Times New Roman"/>
        </w:rPr>
      </w:pPr>
    </w:p>
    <w:p w14:paraId="3B756D37" w14:textId="77777777" w:rsidR="00265259" w:rsidRDefault="00265259" w:rsidP="00FC2AEB">
      <w:pPr>
        <w:jc w:val="both"/>
        <w:rPr>
          <w:rFonts w:ascii="Times New Roman" w:hAnsi="Times New Roman" w:cs="Times New Roman"/>
        </w:rPr>
      </w:pPr>
    </w:p>
    <w:p w14:paraId="469ABD95" w14:textId="77777777" w:rsidR="00265259" w:rsidRDefault="00265259" w:rsidP="00FC2AEB">
      <w:pPr>
        <w:jc w:val="both"/>
        <w:rPr>
          <w:rFonts w:ascii="Times New Roman" w:hAnsi="Times New Roman" w:cs="Times New Roman"/>
        </w:rPr>
      </w:pPr>
    </w:p>
    <w:p w14:paraId="5FA8FA06" w14:textId="77777777" w:rsidR="00265259" w:rsidRDefault="00265259" w:rsidP="00FC2AEB">
      <w:pPr>
        <w:jc w:val="both"/>
        <w:rPr>
          <w:rFonts w:ascii="Times New Roman" w:hAnsi="Times New Roman" w:cs="Times New Roman"/>
        </w:rPr>
      </w:pPr>
    </w:p>
    <w:p w14:paraId="5CF58E09" w14:textId="77777777" w:rsidR="00265259" w:rsidRDefault="00265259" w:rsidP="00FC2AEB">
      <w:pPr>
        <w:jc w:val="both"/>
        <w:rPr>
          <w:rFonts w:ascii="Times New Roman" w:hAnsi="Times New Roman" w:cs="Times New Roman"/>
        </w:rPr>
      </w:pPr>
    </w:p>
    <w:p w14:paraId="48255287" w14:textId="77777777" w:rsidR="00265259" w:rsidRDefault="00265259" w:rsidP="00FC2AEB">
      <w:pPr>
        <w:jc w:val="both"/>
        <w:rPr>
          <w:rFonts w:ascii="Times New Roman" w:hAnsi="Times New Roman" w:cs="Times New Roman"/>
        </w:rPr>
      </w:pPr>
    </w:p>
    <w:p w14:paraId="7A39362C" w14:textId="77777777" w:rsidR="00265259" w:rsidRDefault="00265259" w:rsidP="00FC2AEB">
      <w:pPr>
        <w:jc w:val="both"/>
        <w:rPr>
          <w:rFonts w:ascii="Times New Roman" w:hAnsi="Times New Roman" w:cs="Times New Roman"/>
        </w:rPr>
        <w:sectPr w:rsidR="00265259" w:rsidSect="00265259">
          <w:type w:val="continuous"/>
          <w:pgSz w:w="11906" w:h="16838" w:code="9"/>
          <w:pgMar w:top="1440" w:right="1440" w:bottom="1440" w:left="1440" w:header="1008" w:footer="720" w:gutter="0"/>
          <w:cols w:num="2" w:space="708"/>
          <w:docGrid w:linePitch="360"/>
        </w:sectPr>
      </w:pPr>
    </w:p>
    <w:p w14:paraId="38303134" w14:textId="77777777" w:rsidR="00003B79" w:rsidRPr="00FC2AEB" w:rsidRDefault="00003B79" w:rsidP="00265259">
      <w:pPr>
        <w:jc w:val="both"/>
        <w:rPr>
          <w:rFonts w:ascii="Times New Roman" w:hAnsi="Times New Roman" w:cs="Times New Roman"/>
        </w:rPr>
      </w:pPr>
    </w:p>
    <w:sectPr w:rsidR="00003B79" w:rsidRPr="00FC2AEB" w:rsidSect="00265259">
      <w:type w:val="continuous"/>
      <w:pgSz w:w="11906" w:h="16838" w:code="9"/>
      <w:pgMar w:top="1440" w:right="1440" w:bottom="1440" w:left="1440"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B17A" w14:textId="77777777" w:rsidR="00C2001A" w:rsidRDefault="00C2001A" w:rsidP="001242A3">
      <w:pPr>
        <w:spacing w:after="0" w:line="240" w:lineRule="auto"/>
      </w:pPr>
      <w:r>
        <w:separator/>
      </w:r>
    </w:p>
  </w:endnote>
  <w:endnote w:type="continuationSeparator" w:id="0">
    <w:p w14:paraId="3EDCFDED" w14:textId="77777777" w:rsidR="00C2001A" w:rsidRDefault="00C2001A" w:rsidP="00124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73F7" w14:textId="77777777" w:rsidR="00C2001A" w:rsidRDefault="00C2001A" w:rsidP="001242A3">
      <w:pPr>
        <w:spacing w:after="0" w:line="240" w:lineRule="auto"/>
      </w:pPr>
      <w:r>
        <w:separator/>
      </w:r>
    </w:p>
  </w:footnote>
  <w:footnote w:type="continuationSeparator" w:id="0">
    <w:p w14:paraId="4A79A6F2" w14:textId="77777777" w:rsidR="00C2001A" w:rsidRDefault="00C2001A" w:rsidP="00124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5A00" w14:textId="0448DC7C" w:rsidR="001242A3" w:rsidRPr="004E23F6" w:rsidRDefault="004E23F6" w:rsidP="004E23F6">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Pr>
        <w:rFonts w:ascii="Arial" w:hAnsi="Arial" w:cs="Arial"/>
        <w:i/>
        <w:iCs/>
        <w:sz w:val="16"/>
        <w:szCs w:val="16"/>
      </w:rPr>
      <w:t>Bhoomikaa</w:t>
    </w:r>
    <w:proofErr w:type="spellEnd"/>
    <w:r>
      <w:rPr>
        <w:rFonts w:ascii="Arial" w:hAnsi="Arial" w:cs="Arial"/>
        <w:i/>
        <w:iCs/>
        <w:sz w:val="16"/>
        <w:szCs w:val="16"/>
      </w:rPr>
      <w:t xml:space="preserve"> B, Vinoth Kumar V</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B96C68">
      <w:rPr>
        <w:rFonts w:ascii="Arial" w:hAnsi="Arial" w:cs="Arial"/>
        <w:noProof/>
        <w:sz w:val="16"/>
        <w:szCs w:val="16"/>
      </w:rPr>
      <w:t>42</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0952" w14:textId="67053C62" w:rsidR="001242A3" w:rsidRPr="004E23F6" w:rsidRDefault="004E23F6" w:rsidP="004E23F6">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sidR="00B96C68">
      <w:rPr>
        <w:rFonts w:ascii="Arial" w:hAnsi="Arial" w:cs="Arial"/>
        <w:noProof/>
        <w:sz w:val="16"/>
        <w:szCs w:val="16"/>
      </w:rPr>
      <w:t>43</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sidR="00B96C68">
      <w:rPr>
        <w:rFonts w:ascii="Arial" w:eastAsia="Arial" w:hAnsi="Arial" w:cs="Arial"/>
        <w:i/>
        <w:color w:val="000000"/>
        <w:spacing w:val="-1"/>
        <w:sz w:val="16"/>
        <w:szCs w:val="16"/>
      </w:rPr>
      <w:t xml:space="preserve">       Dec</w:t>
    </w:r>
    <w:r>
      <w:rPr>
        <w:rFonts w:ascii="Arial" w:eastAsia="Arial" w:hAnsi="Arial" w:cs="Arial"/>
        <w:i/>
        <w:color w:val="000000"/>
        <w:spacing w:val="-1"/>
        <w:sz w:val="16"/>
        <w:szCs w:val="16"/>
      </w:rPr>
      <w:t xml:space="preserve">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968"/>
    <w:multiLevelType w:val="multilevel"/>
    <w:tmpl w:val="6678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B41FA8"/>
    <w:multiLevelType w:val="multilevel"/>
    <w:tmpl w:val="5550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A87A86"/>
    <w:multiLevelType w:val="multilevel"/>
    <w:tmpl w:val="9442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E1559F"/>
    <w:multiLevelType w:val="multilevel"/>
    <w:tmpl w:val="1110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7D4C54"/>
    <w:multiLevelType w:val="multilevel"/>
    <w:tmpl w:val="0CE05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8673973">
    <w:abstractNumId w:val="3"/>
  </w:num>
  <w:num w:numId="2" w16cid:durableId="783498403">
    <w:abstractNumId w:val="1"/>
  </w:num>
  <w:num w:numId="3" w16cid:durableId="1516963415">
    <w:abstractNumId w:val="2"/>
  </w:num>
  <w:num w:numId="4" w16cid:durableId="1005672076">
    <w:abstractNumId w:val="4"/>
  </w:num>
  <w:num w:numId="5" w16cid:durableId="78526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7C"/>
    <w:rsid w:val="00003B79"/>
    <w:rsid w:val="00047D28"/>
    <w:rsid w:val="00096C7D"/>
    <w:rsid w:val="000D35F4"/>
    <w:rsid w:val="00106E4C"/>
    <w:rsid w:val="001242A3"/>
    <w:rsid w:val="001F7C6C"/>
    <w:rsid w:val="00230FA3"/>
    <w:rsid w:val="00265259"/>
    <w:rsid w:val="00483141"/>
    <w:rsid w:val="004C56BD"/>
    <w:rsid w:val="004D0D9E"/>
    <w:rsid w:val="004D3782"/>
    <w:rsid w:val="004E23F6"/>
    <w:rsid w:val="00503DED"/>
    <w:rsid w:val="005E47D0"/>
    <w:rsid w:val="00616BD4"/>
    <w:rsid w:val="00764A1C"/>
    <w:rsid w:val="007A07A3"/>
    <w:rsid w:val="007C6427"/>
    <w:rsid w:val="007E0FCD"/>
    <w:rsid w:val="00905DAA"/>
    <w:rsid w:val="009414B1"/>
    <w:rsid w:val="009E7A7D"/>
    <w:rsid w:val="00AB60CC"/>
    <w:rsid w:val="00B44649"/>
    <w:rsid w:val="00B96C68"/>
    <w:rsid w:val="00BE4340"/>
    <w:rsid w:val="00C2001A"/>
    <w:rsid w:val="00C9754D"/>
    <w:rsid w:val="00CC4364"/>
    <w:rsid w:val="00D27B34"/>
    <w:rsid w:val="00DC0263"/>
    <w:rsid w:val="00DC417C"/>
    <w:rsid w:val="00E755B3"/>
    <w:rsid w:val="00E841FE"/>
    <w:rsid w:val="00EA664E"/>
    <w:rsid w:val="00F35E60"/>
    <w:rsid w:val="00F95D91"/>
    <w:rsid w:val="00FC2AEB"/>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A25D"/>
  <w15:chartTrackingRefBased/>
  <w15:docId w15:val="{BF681408-6554-42E0-8426-AEADADE6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17C"/>
    <w:rPr>
      <w:rFonts w:eastAsiaTheme="majorEastAsia" w:cstheme="majorBidi"/>
      <w:color w:val="272727" w:themeColor="text1" w:themeTint="D8"/>
    </w:rPr>
  </w:style>
  <w:style w:type="paragraph" w:styleId="Title">
    <w:name w:val="Title"/>
    <w:basedOn w:val="Normal"/>
    <w:next w:val="Normal"/>
    <w:link w:val="TitleChar"/>
    <w:uiPriority w:val="10"/>
    <w:qFormat/>
    <w:rsid w:val="00DC4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17C"/>
    <w:pPr>
      <w:spacing w:before="160"/>
      <w:jc w:val="center"/>
    </w:pPr>
    <w:rPr>
      <w:i/>
      <w:iCs/>
      <w:color w:val="404040" w:themeColor="text1" w:themeTint="BF"/>
    </w:rPr>
  </w:style>
  <w:style w:type="character" w:customStyle="1" w:styleId="QuoteChar">
    <w:name w:val="Quote Char"/>
    <w:basedOn w:val="DefaultParagraphFont"/>
    <w:link w:val="Quote"/>
    <w:uiPriority w:val="29"/>
    <w:rsid w:val="00DC417C"/>
    <w:rPr>
      <w:i/>
      <w:iCs/>
      <w:color w:val="404040" w:themeColor="text1" w:themeTint="BF"/>
    </w:rPr>
  </w:style>
  <w:style w:type="paragraph" w:styleId="ListParagraph">
    <w:name w:val="List Paragraph"/>
    <w:basedOn w:val="Normal"/>
    <w:uiPriority w:val="34"/>
    <w:qFormat/>
    <w:rsid w:val="00DC417C"/>
    <w:pPr>
      <w:ind w:left="720"/>
      <w:contextualSpacing/>
    </w:pPr>
  </w:style>
  <w:style w:type="character" w:styleId="IntenseEmphasis">
    <w:name w:val="Intense Emphasis"/>
    <w:basedOn w:val="DefaultParagraphFont"/>
    <w:uiPriority w:val="21"/>
    <w:qFormat/>
    <w:rsid w:val="00DC417C"/>
    <w:rPr>
      <w:i/>
      <w:iCs/>
      <w:color w:val="0F4761" w:themeColor="accent1" w:themeShade="BF"/>
    </w:rPr>
  </w:style>
  <w:style w:type="paragraph" w:styleId="IntenseQuote">
    <w:name w:val="Intense Quote"/>
    <w:basedOn w:val="Normal"/>
    <w:next w:val="Normal"/>
    <w:link w:val="IntenseQuoteChar"/>
    <w:uiPriority w:val="30"/>
    <w:qFormat/>
    <w:rsid w:val="00DC4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17C"/>
    <w:rPr>
      <w:i/>
      <w:iCs/>
      <w:color w:val="0F4761" w:themeColor="accent1" w:themeShade="BF"/>
    </w:rPr>
  </w:style>
  <w:style w:type="character" w:styleId="IntenseReference">
    <w:name w:val="Intense Reference"/>
    <w:basedOn w:val="DefaultParagraphFont"/>
    <w:uiPriority w:val="32"/>
    <w:qFormat/>
    <w:rsid w:val="00DC417C"/>
    <w:rPr>
      <w:b/>
      <w:bCs/>
      <w:smallCaps/>
      <w:color w:val="0F4761" w:themeColor="accent1" w:themeShade="BF"/>
      <w:spacing w:val="5"/>
    </w:rPr>
  </w:style>
  <w:style w:type="character" w:styleId="Hyperlink">
    <w:name w:val="Hyperlink"/>
    <w:basedOn w:val="DefaultParagraphFont"/>
    <w:uiPriority w:val="99"/>
    <w:unhideWhenUsed/>
    <w:rsid w:val="00FC2AEB"/>
    <w:rPr>
      <w:color w:val="467886" w:themeColor="hyperlink"/>
      <w:u w:val="single"/>
    </w:rPr>
  </w:style>
  <w:style w:type="character" w:customStyle="1" w:styleId="UnresolvedMention1">
    <w:name w:val="Unresolved Mention1"/>
    <w:basedOn w:val="DefaultParagraphFont"/>
    <w:uiPriority w:val="99"/>
    <w:semiHidden/>
    <w:unhideWhenUsed/>
    <w:rsid w:val="00FC2AEB"/>
    <w:rPr>
      <w:color w:val="605E5C"/>
      <w:shd w:val="clear" w:color="auto" w:fill="E1DFDD"/>
    </w:rPr>
  </w:style>
  <w:style w:type="paragraph" w:styleId="Header">
    <w:name w:val="header"/>
    <w:basedOn w:val="Normal"/>
    <w:link w:val="HeaderChar"/>
    <w:uiPriority w:val="99"/>
    <w:unhideWhenUsed/>
    <w:rsid w:val="00124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2A3"/>
  </w:style>
  <w:style w:type="paragraph" w:styleId="Footer">
    <w:name w:val="footer"/>
    <w:basedOn w:val="Normal"/>
    <w:link w:val="FooterChar"/>
    <w:uiPriority w:val="99"/>
    <w:unhideWhenUsed/>
    <w:rsid w:val="00124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2A3"/>
  </w:style>
  <w:style w:type="table" w:styleId="TableGrid">
    <w:name w:val="Table Grid"/>
    <w:basedOn w:val="TableNormal"/>
    <w:uiPriority w:val="39"/>
    <w:rsid w:val="00265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D91"/>
    <w:pPr>
      <w:spacing w:after="0" w:line="240" w:lineRule="auto"/>
    </w:pPr>
  </w:style>
  <w:style w:type="character" w:styleId="FollowedHyperlink">
    <w:name w:val="FollowedHyperlink"/>
    <w:basedOn w:val="DefaultParagraphFont"/>
    <w:uiPriority w:val="99"/>
    <w:semiHidden/>
    <w:unhideWhenUsed/>
    <w:rsid w:val="00230FA3"/>
    <w:rPr>
      <w:color w:val="96607D" w:themeColor="followedHyperlink"/>
      <w:u w:val="single"/>
    </w:rPr>
  </w:style>
  <w:style w:type="character" w:styleId="UnresolvedMention">
    <w:name w:val="Unresolved Mention"/>
    <w:basedOn w:val="DefaultParagraphFont"/>
    <w:uiPriority w:val="99"/>
    <w:semiHidden/>
    <w:unhideWhenUsed/>
    <w:rsid w:val="00C9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ho.int/" TargetMode="External"/><Relationship Id="rId3" Type="http://schemas.openxmlformats.org/officeDocument/2006/relationships/settings" Target="settings.xml"/><Relationship Id="rId7" Type="http://schemas.openxmlformats.org/officeDocument/2006/relationships/hyperlink" Target="https://doi.org/10.5281/zenodo.17826036" TargetMode="External"/><Relationship Id="rId12" Type="http://schemas.openxmlformats.org/officeDocument/2006/relationships/hyperlink" Target="https://www.fd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ta.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ur-lex.europa.e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i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1773</Words>
  <Characters>10108</Characters>
  <Application>Microsoft Office Word</Application>
  <DocSecurity>0</DocSecurity>
  <Lines>84</Lines>
  <Paragraphs>23</Paragraphs>
  <ScaleCrop>false</ScaleCrop>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chandran</dc:creator>
  <cp:keywords/>
  <dc:description/>
  <cp:lastModifiedBy>Ravi chandran</cp:lastModifiedBy>
  <cp:revision>22</cp:revision>
  <dcterms:created xsi:type="dcterms:W3CDTF">2025-10-30T04:31:00Z</dcterms:created>
  <dcterms:modified xsi:type="dcterms:W3CDTF">2025-12-05T06:32:00Z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2025-10-30T04:34:56Z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109d4105-2b3b-40ac-a4ec-29be49738db1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