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63448" w14:textId="495F2F60" w:rsidR="0055375B" w:rsidRPr="00FA13C3" w:rsidRDefault="0055375B" w:rsidP="0055375B">
      <w:pPr>
        <w:spacing w:after="0" w:line="160" w:lineRule="atLeast"/>
        <w:jc w:val="both"/>
        <w:rPr>
          <w:rFonts w:ascii="Arial" w:eastAsia="Arial" w:hAnsi="Arial" w:cs="Arial"/>
          <w:i/>
          <w:color w:val="000000"/>
          <w:spacing w:val="-1"/>
          <w:sz w:val="14"/>
          <w:szCs w:val="14"/>
        </w:rPr>
      </w:pPr>
      <w:bookmarkStart w:id="0" w:name="_Hlk214371776"/>
      <w:r w:rsidRPr="00FA13C3">
        <w:rPr>
          <w:rFonts w:ascii="Arial" w:eastAsia="Arial" w:hAnsi="Arial" w:cs="Arial"/>
          <w:i/>
          <w:color w:val="000000"/>
          <w:sz w:val="14"/>
          <w:szCs w:val="14"/>
        </w:rPr>
        <w:t>©</w:t>
      </w:r>
      <w:r w:rsidRPr="00FA13C3">
        <w:rPr>
          <w:rFonts w:ascii="Arial" w:eastAsia="Arial" w:hAnsi="Arial" w:cs="Arial"/>
          <w:i/>
          <w:color w:val="000000"/>
          <w:spacing w:val="-1"/>
          <w:sz w:val="14"/>
          <w:szCs w:val="14"/>
        </w:rPr>
        <w:t xml:space="preserve"> </w:t>
      </w:r>
      <w:r w:rsidRPr="00FA13C3">
        <w:rPr>
          <w:rFonts w:ascii="Arial" w:eastAsia="Arial" w:hAnsi="Arial" w:cs="Arial"/>
          <w:i/>
          <w:color w:val="000000"/>
          <w:sz w:val="14"/>
          <w:szCs w:val="14"/>
        </w:rPr>
        <w:t>International</w:t>
      </w:r>
      <w:r w:rsidRPr="00FA13C3">
        <w:rPr>
          <w:rFonts w:ascii="Arial" w:eastAsia="Arial" w:hAnsi="Arial" w:cs="Arial"/>
          <w:i/>
          <w:color w:val="000000"/>
          <w:spacing w:val="-1"/>
          <w:sz w:val="14"/>
          <w:szCs w:val="14"/>
        </w:rPr>
        <w:t xml:space="preserve"> Academic Research Journal of Business and Management</w:t>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sidR="00394243">
        <w:rPr>
          <w:rFonts w:ascii="Arial" w:eastAsia="Arial" w:hAnsi="Arial" w:cs="Arial"/>
          <w:i/>
          <w:color w:val="000000"/>
          <w:spacing w:val="-1"/>
          <w:sz w:val="14"/>
          <w:szCs w:val="14"/>
        </w:rPr>
        <w:t xml:space="preserve">           </w:t>
      </w:r>
      <w:r w:rsidRPr="00812D87">
        <w:rPr>
          <w:rFonts w:ascii="Arial" w:eastAsia="Arial" w:hAnsi="Arial" w:cs="Arial"/>
          <w:i/>
          <w:color w:val="000000" w:themeColor="text1"/>
          <w:spacing w:val="-1"/>
          <w:sz w:val="14"/>
          <w:szCs w:val="14"/>
        </w:rPr>
        <w:t>ISSN:2227-1287</w:t>
      </w:r>
      <w:r>
        <w:rPr>
          <w:rFonts w:ascii="Arial" w:eastAsia="Arial" w:hAnsi="Arial" w:cs="Arial"/>
          <w:i/>
          <w:color w:val="000000"/>
          <w:spacing w:val="-1"/>
          <w:sz w:val="14"/>
          <w:szCs w:val="14"/>
        </w:rPr>
        <w:tab/>
      </w:r>
      <w:bookmarkStart w:id="1" w:name="_GoBack"/>
      <w:bookmarkEnd w:id="1"/>
      <w:r>
        <w:rPr>
          <w:rFonts w:ascii="Arial" w:eastAsia="Arial" w:hAnsi="Arial" w:cs="Arial"/>
          <w:i/>
          <w:color w:val="000000"/>
          <w:spacing w:val="-1"/>
          <w:sz w:val="14"/>
          <w:szCs w:val="14"/>
        </w:rPr>
        <w:tab/>
      </w:r>
    </w:p>
    <w:p w14:paraId="75908DB0" w14:textId="620B3AB9" w:rsidR="0055375B" w:rsidRDefault="0055375B" w:rsidP="0055375B">
      <w:pPr>
        <w:spacing w:after="0" w:line="160" w:lineRule="atLeast"/>
        <w:jc w:val="both"/>
        <w:rPr>
          <w:rFonts w:ascii="Arial" w:eastAsia="Arial" w:hAnsi="Arial" w:cs="Arial"/>
          <w:i/>
          <w:color w:val="000000"/>
          <w:spacing w:val="-1"/>
          <w:sz w:val="14"/>
          <w:szCs w:val="14"/>
        </w:rPr>
      </w:pPr>
      <w:r w:rsidRPr="00DF2646">
        <w:rPr>
          <w:rFonts w:ascii="Arial" w:eastAsia="Arial" w:hAnsi="Arial" w:cs="Arial"/>
          <w:i/>
          <w:color w:val="000000"/>
          <w:spacing w:val="-1"/>
          <w:sz w:val="14"/>
          <w:szCs w:val="14"/>
        </w:rPr>
        <w:t>Volume 13, Iss</w:t>
      </w:r>
      <w:r>
        <w:rPr>
          <w:rFonts w:ascii="Arial" w:eastAsia="Arial" w:hAnsi="Arial" w:cs="Arial"/>
          <w:i/>
          <w:color w:val="000000"/>
          <w:spacing w:val="-1"/>
          <w:sz w:val="14"/>
          <w:szCs w:val="14"/>
        </w:rPr>
        <w:t>ue</w:t>
      </w:r>
      <w:r w:rsidRPr="00DF2646">
        <w:rPr>
          <w:rFonts w:ascii="Arial" w:eastAsia="Arial" w:hAnsi="Arial" w:cs="Arial"/>
          <w:i/>
          <w:color w:val="000000"/>
          <w:spacing w:val="-1"/>
          <w:sz w:val="14"/>
          <w:szCs w:val="14"/>
        </w:rPr>
        <w:t xml:space="preserve"> No:</w:t>
      </w:r>
      <w:r>
        <w:rPr>
          <w:rFonts w:ascii="Arial" w:eastAsia="Arial" w:hAnsi="Arial" w:cs="Arial"/>
          <w:i/>
          <w:color w:val="000000"/>
          <w:spacing w:val="-1"/>
          <w:sz w:val="14"/>
          <w:szCs w:val="14"/>
        </w:rPr>
        <w:t>2</w:t>
      </w:r>
      <w:r w:rsidRPr="00DF2646">
        <w:rPr>
          <w:rFonts w:ascii="Arial" w:eastAsia="Arial" w:hAnsi="Arial" w:cs="Arial"/>
          <w:i/>
          <w:color w:val="000000"/>
          <w:spacing w:val="-1"/>
          <w:sz w:val="14"/>
          <w:szCs w:val="14"/>
        </w:rPr>
        <w:t xml:space="preserve">, </w:t>
      </w:r>
      <w:r w:rsidR="00C73D55">
        <w:rPr>
          <w:rFonts w:ascii="Arial" w:eastAsia="Arial" w:hAnsi="Arial" w:cs="Arial"/>
          <w:i/>
          <w:color w:val="000000"/>
          <w:spacing w:val="-1"/>
          <w:sz w:val="14"/>
          <w:szCs w:val="14"/>
        </w:rPr>
        <w:t>December</w:t>
      </w:r>
      <w:r w:rsidRPr="00DF2646">
        <w:rPr>
          <w:rFonts w:ascii="Arial" w:eastAsia="Arial" w:hAnsi="Arial" w:cs="Arial"/>
          <w:i/>
          <w:color w:val="000000"/>
          <w:spacing w:val="-1"/>
          <w:sz w:val="14"/>
          <w:szCs w:val="14"/>
        </w:rPr>
        <w:t xml:space="preserve"> 2025</w:t>
      </w:r>
    </w:p>
    <w:p w14:paraId="63D8B4B4" w14:textId="400F0645" w:rsidR="00394243" w:rsidRPr="00FA13C3" w:rsidRDefault="00394243" w:rsidP="0055375B">
      <w:pPr>
        <w:spacing w:after="0" w:line="160" w:lineRule="atLeast"/>
        <w:jc w:val="both"/>
        <w:rPr>
          <w:rFonts w:ascii="Arial" w:eastAsia="Arial" w:hAnsi="Arial" w:cs="Arial"/>
          <w:i/>
          <w:color w:val="000000"/>
          <w:spacing w:val="-1"/>
          <w:sz w:val="14"/>
          <w:szCs w:val="14"/>
        </w:rPr>
      </w:pPr>
      <w:r>
        <w:rPr>
          <w:rFonts w:ascii="Arial" w:eastAsia="Arial" w:hAnsi="Arial" w:cs="Arial"/>
          <w:i/>
          <w:color w:val="000000"/>
          <w:spacing w:val="-1"/>
          <w:sz w:val="14"/>
          <w:szCs w:val="14"/>
        </w:rPr>
        <w:t>DOI:</w:t>
      </w:r>
      <w:r w:rsidRPr="00394243">
        <w:t xml:space="preserve"> </w:t>
      </w:r>
      <w:hyperlink r:id="rId7" w:tgtFrame="_blank" w:history="1">
        <w:r w:rsidRPr="00394243">
          <w:rPr>
            <w:rStyle w:val="Hyperlink"/>
            <w:rFonts w:ascii="Arial" w:eastAsia="Arial" w:hAnsi="Arial" w:cs="Arial"/>
            <w:i/>
            <w:spacing w:val="-1"/>
            <w:sz w:val="14"/>
            <w:szCs w:val="14"/>
          </w:rPr>
          <w:t>https://doi.org/10.5281/zenodo.17698184</w:t>
        </w:r>
      </w:hyperlink>
    </w:p>
    <w:bookmarkEnd w:id="0"/>
    <w:p w14:paraId="718355F9" w14:textId="77777777" w:rsidR="0055375B" w:rsidRDefault="0055375B" w:rsidP="00D95A91">
      <w:pPr>
        <w:spacing w:after="0" w:line="240" w:lineRule="auto"/>
        <w:jc w:val="center"/>
        <w:rPr>
          <w:rFonts w:ascii="Times New Roman" w:eastAsia="Times New Roman" w:hAnsi="Times New Roman" w:cs="Times New Roman"/>
          <w:b/>
          <w:sz w:val="32"/>
          <w:szCs w:val="32"/>
          <w:lang w:eastAsia="en-IN"/>
        </w:rPr>
      </w:pPr>
    </w:p>
    <w:p w14:paraId="4B83DB52" w14:textId="43E98AEC" w:rsidR="00F47418" w:rsidRDefault="00F47418" w:rsidP="00D95A91">
      <w:pPr>
        <w:spacing w:after="0" w:line="240" w:lineRule="auto"/>
        <w:jc w:val="center"/>
        <w:rPr>
          <w:rFonts w:ascii="Times New Roman" w:eastAsia="Times New Roman" w:hAnsi="Times New Roman" w:cs="Times New Roman"/>
          <w:b/>
          <w:sz w:val="32"/>
          <w:szCs w:val="32"/>
          <w:lang w:eastAsia="en-IN"/>
        </w:rPr>
      </w:pPr>
      <w:r w:rsidRPr="00D95A91">
        <w:rPr>
          <w:rFonts w:ascii="Times New Roman" w:eastAsia="Times New Roman" w:hAnsi="Times New Roman" w:cs="Times New Roman"/>
          <w:b/>
          <w:sz w:val="32"/>
          <w:szCs w:val="32"/>
          <w:lang w:eastAsia="en-IN"/>
        </w:rPr>
        <w:t xml:space="preserve">Selling </w:t>
      </w:r>
      <w:r w:rsidR="000B35F2" w:rsidRPr="00D95A91">
        <w:rPr>
          <w:rFonts w:ascii="Times New Roman" w:eastAsia="Times New Roman" w:hAnsi="Times New Roman" w:cs="Times New Roman"/>
          <w:b/>
          <w:sz w:val="32"/>
          <w:szCs w:val="32"/>
          <w:lang w:eastAsia="en-IN"/>
        </w:rPr>
        <w:t xml:space="preserve">Trust Through Demos </w:t>
      </w:r>
      <w:r w:rsidRPr="00D95A91">
        <w:rPr>
          <w:rFonts w:ascii="Times New Roman" w:eastAsia="Times New Roman" w:hAnsi="Times New Roman" w:cs="Times New Roman"/>
          <w:b/>
          <w:sz w:val="32"/>
          <w:szCs w:val="32"/>
          <w:lang w:eastAsia="en-IN"/>
        </w:rPr>
        <w:t xml:space="preserve">Experiential </w:t>
      </w:r>
      <w:r w:rsidR="000B35F2" w:rsidRPr="00D95A91">
        <w:rPr>
          <w:rFonts w:ascii="Times New Roman" w:eastAsia="Times New Roman" w:hAnsi="Times New Roman" w:cs="Times New Roman"/>
          <w:b/>
          <w:sz w:val="32"/>
          <w:szCs w:val="32"/>
          <w:lang w:eastAsia="en-IN"/>
        </w:rPr>
        <w:t xml:space="preserve">Selling </w:t>
      </w:r>
      <w:r w:rsidRPr="00D95A91">
        <w:rPr>
          <w:rFonts w:ascii="Times New Roman" w:eastAsia="Times New Roman" w:hAnsi="Times New Roman" w:cs="Times New Roman"/>
          <w:b/>
          <w:sz w:val="32"/>
          <w:szCs w:val="32"/>
          <w:lang w:eastAsia="en-IN"/>
        </w:rPr>
        <w:t xml:space="preserve">and </w:t>
      </w:r>
      <w:r w:rsidR="000B35F2" w:rsidRPr="00D95A91">
        <w:rPr>
          <w:rFonts w:ascii="Times New Roman" w:eastAsia="Times New Roman" w:hAnsi="Times New Roman" w:cs="Times New Roman"/>
          <w:b/>
          <w:sz w:val="32"/>
          <w:szCs w:val="32"/>
          <w:lang w:eastAsia="en-IN"/>
        </w:rPr>
        <w:t xml:space="preserve">Multi Persona Persuasion </w:t>
      </w:r>
      <w:r w:rsidRPr="00D95A91">
        <w:rPr>
          <w:rFonts w:ascii="Times New Roman" w:eastAsia="Times New Roman" w:hAnsi="Times New Roman" w:cs="Times New Roman"/>
          <w:b/>
          <w:sz w:val="32"/>
          <w:szCs w:val="32"/>
          <w:lang w:eastAsia="en-IN"/>
        </w:rPr>
        <w:t>at In</w:t>
      </w:r>
      <w:r w:rsidR="000B35F2">
        <w:rPr>
          <w:rFonts w:ascii="Times New Roman" w:eastAsia="Times New Roman" w:hAnsi="Times New Roman" w:cs="Times New Roman"/>
          <w:b/>
          <w:sz w:val="32"/>
          <w:szCs w:val="32"/>
          <w:lang w:eastAsia="en-IN"/>
        </w:rPr>
        <w:t xml:space="preserve"> </w:t>
      </w:r>
      <w:r w:rsidRPr="00D95A91">
        <w:rPr>
          <w:rFonts w:ascii="Times New Roman" w:eastAsia="Times New Roman" w:hAnsi="Times New Roman" w:cs="Times New Roman"/>
          <w:b/>
          <w:sz w:val="32"/>
          <w:szCs w:val="32"/>
          <w:lang w:eastAsia="en-IN"/>
        </w:rPr>
        <w:t>Body India</w:t>
      </w:r>
    </w:p>
    <w:p w14:paraId="0B51C369" w14:textId="77777777" w:rsidR="00D95A91" w:rsidRPr="00D95A91" w:rsidRDefault="00D95A91" w:rsidP="00D95A91">
      <w:pPr>
        <w:spacing w:after="0" w:line="240" w:lineRule="auto"/>
        <w:jc w:val="center"/>
        <w:rPr>
          <w:rFonts w:ascii="Times New Roman" w:eastAsia="Times New Roman" w:hAnsi="Times New Roman" w:cs="Times New Roman"/>
          <w:b/>
          <w:sz w:val="32"/>
          <w:szCs w:val="32"/>
          <w:lang w:eastAsia="en-I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4140"/>
      </w:tblGrid>
      <w:tr w:rsidR="00D95A91" w14:paraId="15F52D99" w14:textId="77777777" w:rsidTr="00D95A91">
        <w:trPr>
          <w:jc w:val="center"/>
        </w:trPr>
        <w:tc>
          <w:tcPr>
            <w:tcW w:w="3865" w:type="dxa"/>
          </w:tcPr>
          <w:p w14:paraId="71C70890" w14:textId="77777777" w:rsidR="00D95A91" w:rsidRPr="00D95A91" w:rsidRDefault="00D95A91" w:rsidP="00D95A91">
            <w:pPr>
              <w:jc w:val="center"/>
              <w:rPr>
                <w:rFonts w:ascii="Calibri" w:eastAsia="Times New Roman" w:hAnsi="Calibri" w:cs="Calibri"/>
                <w:b/>
                <w:i/>
                <w:iCs/>
                <w:color w:val="000000"/>
                <w:sz w:val="16"/>
                <w:szCs w:val="16"/>
                <w:lang w:eastAsia="en-IN"/>
              </w:rPr>
            </w:pPr>
            <w:r w:rsidRPr="00D95A91">
              <w:rPr>
                <w:rFonts w:ascii="Calibri" w:eastAsia="Times New Roman" w:hAnsi="Calibri" w:cs="Calibri"/>
                <w:b/>
                <w:i/>
                <w:iCs/>
                <w:color w:val="000000"/>
                <w:sz w:val="16"/>
                <w:szCs w:val="16"/>
                <w:lang w:eastAsia="en-IN"/>
              </w:rPr>
              <w:t>Varun</w:t>
            </w:r>
          </w:p>
          <w:p w14:paraId="147CCFE0" w14:textId="77777777" w:rsidR="00D95A91" w:rsidRDefault="00D95A91" w:rsidP="00D95A91">
            <w:pPr>
              <w:jc w:val="center"/>
              <w:rPr>
                <w:rFonts w:ascii="Calibri" w:eastAsia="Times New Roman" w:hAnsi="Calibri" w:cs="Calibri"/>
                <w:color w:val="000000"/>
                <w:sz w:val="16"/>
                <w:szCs w:val="16"/>
                <w:lang w:eastAsia="en-IN"/>
              </w:rPr>
            </w:pPr>
            <w:r w:rsidRPr="00D95A91">
              <w:rPr>
                <w:rFonts w:ascii="Calibri" w:eastAsia="Times New Roman" w:hAnsi="Calibri" w:cs="Calibri"/>
                <w:color w:val="000000"/>
                <w:sz w:val="16"/>
                <w:szCs w:val="16"/>
                <w:lang w:eastAsia="en-IN"/>
              </w:rPr>
              <w:t xml:space="preserve">MBA Student, Faculty of Management Studies, </w:t>
            </w:r>
          </w:p>
          <w:p w14:paraId="7BA0764B" w14:textId="45060F11" w:rsidR="00D95A91" w:rsidRPr="00D95A91" w:rsidRDefault="00D95A91" w:rsidP="00D95A91">
            <w:pPr>
              <w:jc w:val="center"/>
              <w:rPr>
                <w:rFonts w:ascii="Calibri" w:eastAsia="Times New Roman" w:hAnsi="Calibri" w:cs="Calibri"/>
                <w:color w:val="000000"/>
                <w:sz w:val="16"/>
                <w:szCs w:val="16"/>
                <w:lang w:eastAsia="en-IN"/>
              </w:rPr>
            </w:pPr>
            <w:r w:rsidRPr="00D95A91">
              <w:rPr>
                <w:rFonts w:ascii="Calibri" w:eastAsia="Times New Roman" w:hAnsi="Calibri" w:cs="Calibri"/>
                <w:color w:val="000000"/>
                <w:sz w:val="16"/>
                <w:szCs w:val="16"/>
                <w:lang w:eastAsia="en-IN"/>
              </w:rPr>
              <w:t>CMS Business School</w:t>
            </w:r>
          </w:p>
          <w:p w14:paraId="406F720E" w14:textId="4DC18EAC" w:rsidR="00D95A91" w:rsidRPr="00D95A91" w:rsidRDefault="00D95A91" w:rsidP="00D95A91">
            <w:pPr>
              <w:jc w:val="center"/>
              <w:rPr>
                <w:rFonts w:ascii="Calibri" w:eastAsia="Times New Roman" w:hAnsi="Calibri" w:cs="Calibri"/>
                <w:color w:val="000000"/>
                <w:sz w:val="16"/>
                <w:szCs w:val="16"/>
                <w:lang w:eastAsia="en-IN"/>
              </w:rPr>
            </w:pPr>
            <w:r w:rsidRPr="00D95A91">
              <w:rPr>
                <w:rFonts w:ascii="Calibri" w:eastAsia="Times New Roman" w:hAnsi="Calibri" w:cs="Calibri"/>
                <w:color w:val="000000"/>
                <w:sz w:val="16"/>
                <w:szCs w:val="16"/>
                <w:lang w:eastAsia="en-IN"/>
              </w:rPr>
              <w:t xml:space="preserve">JAIN (Deemed-to-be University), Bangalore. </w:t>
            </w:r>
          </w:p>
        </w:tc>
        <w:tc>
          <w:tcPr>
            <w:tcW w:w="4140" w:type="dxa"/>
          </w:tcPr>
          <w:p w14:paraId="5C3CCA2D" w14:textId="77777777" w:rsidR="00D95A91" w:rsidRPr="00D95A91" w:rsidRDefault="00D95A91" w:rsidP="00D95A91">
            <w:pPr>
              <w:jc w:val="center"/>
              <w:rPr>
                <w:rFonts w:ascii="Calibri" w:eastAsia="Times New Roman" w:hAnsi="Calibri" w:cs="Calibri"/>
                <w:b/>
                <w:bCs/>
                <w:i/>
                <w:iCs/>
                <w:color w:val="000000"/>
                <w:sz w:val="16"/>
                <w:szCs w:val="16"/>
                <w:lang w:eastAsia="en-IN"/>
              </w:rPr>
            </w:pPr>
            <w:r w:rsidRPr="00D95A91">
              <w:rPr>
                <w:rFonts w:ascii="Calibri" w:eastAsia="Times New Roman" w:hAnsi="Calibri" w:cs="Calibri"/>
                <w:b/>
                <w:bCs/>
                <w:i/>
                <w:iCs/>
                <w:color w:val="000000"/>
                <w:sz w:val="16"/>
                <w:szCs w:val="16"/>
                <w:lang w:eastAsia="en-IN"/>
              </w:rPr>
              <w:t>Dr. M. Govindaraj</w:t>
            </w:r>
          </w:p>
          <w:p w14:paraId="08806E5B" w14:textId="77777777" w:rsidR="00D95A91" w:rsidRDefault="00D95A91" w:rsidP="00D95A91">
            <w:pPr>
              <w:jc w:val="center"/>
              <w:rPr>
                <w:rFonts w:ascii="Calibri" w:eastAsia="Times New Roman" w:hAnsi="Calibri" w:cs="Calibri"/>
                <w:color w:val="000000"/>
                <w:sz w:val="16"/>
                <w:szCs w:val="16"/>
                <w:lang w:eastAsia="en-IN"/>
              </w:rPr>
            </w:pPr>
            <w:r w:rsidRPr="00D95A91">
              <w:rPr>
                <w:rFonts w:ascii="Calibri" w:eastAsia="Times New Roman" w:hAnsi="Calibri" w:cs="Calibri"/>
                <w:color w:val="000000"/>
                <w:sz w:val="16"/>
                <w:szCs w:val="16"/>
                <w:lang w:eastAsia="en-IN"/>
              </w:rPr>
              <w:t xml:space="preserve">Associate Professor, Faculty of Management Studies, </w:t>
            </w:r>
          </w:p>
          <w:p w14:paraId="2324FBB0" w14:textId="133F8FE8" w:rsidR="00D95A91" w:rsidRPr="00D95A91" w:rsidRDefault="00D95A91" w:rsidP="00D95A91">
            <w:pPr>
              <w:jc w:val="center"/>
              <w:rPr>
                <w:rFonts w:ascii="Calibri" w:eastAsia="Times New Roman" w:hAnsi="Calibri" w:cs="Calibri"/>
                <w:color w:val="000000"/>
                <w:sz w:val="16"/>
                <w:szCs w:val="16"/>
                <w:lang w:eastAsia="en-IN"/>
              </w:rPr>
            </w:pPr>
            <w:r w:rsidRPr="00D95A91">
              <w:rPr>
                <w:rFonts w:ascii="Calibri" w:eastAsia="Times New Roman" w:hAnsi="Calibri" w:cs="Calibri"/>
                <w:color w:val="000000"/>
                <w:sz w:val="16"/>
                <w:szCs w:val="16"/>
                <w:lang w:eastAsia="en-IN"/>
              </w:rPr>
              <w:t>CMS Business School</w:t>
            </w:r>
          </w:p>
          <w:p w14:paraId="0E77689E" w14:textId="0D9D856E" w:rsidR="00D95A91" w:rsidRPr="00D95A91" w:rsidRDefault="00D95A91" w:rsidP="00D95A91">
            <w:pPr>
              <w:jc w:val="center"/>
              <w:rPr>
                <w:rFonts w:ascii="Calibri" w:eastAsia="Times New Roman" w:hAnsi="Calibri" w:cs="Calibri"/>
                <w:b/>
                <w:color w:val="000000"/>
                <w:sz w:val="16"/>
                <w:szCs w:val="16"/>
                <w:lang w:eastAsia="en-IN"/>
              </w:rPr>
            </w:pPr>
            <w:r w:rsidRPr="00D95A91">
              <w:rPr>
                <w:rFonts w:ascii="Calibri" w:eastAsia="Times New Roman" w:hAnsi="Calibri" w:cs="Calibri"/>
                <w:color w:val="000000"/>
                <w:sz w:val="16"/>
                <w:szCs w:val="16"/>
                <w:lang w:eastAsia="en-IN"/>
              </w:rPr>
              <w:t xml:space="preserve">JAIN (Deemed-to-be University), Bangalore. </w:t>
            </w:r>
          </w:p>
        </w:tc>
      </w:tr>
    </w:tbl>
    <w:p w14:paraId="5729C6E4" w14:textId="77777777" w:rsidR="00872994" w:rsidRPr="009D677D" w:rsidRDefault="00872994" w:rsidP="00D95A91">
      <w:pPr>
        <w:spacing w:after="0" w:line="240" w:lineRule="auto"/>
        <w:ind w:left="720" w:right="386"/>
        <w:jc w:val="center"/>
        <w:rPr>
          <w:rFonts w:ascii="Times New Roman" w:eastAsia="Times New Roman" w:hAnsi="Times New Roman" w:cs="Times New Roman"/>
          <w:color w:val="000000"/>
          <w:sz w:val="24"/>
          <w:szCs w:val="24"/>
          <w:lang w:eastAsia="en-IN"/>
        </w:rPr>
      </w:pPr>
    </w:p>
    <w:p w14:paraId="506932FD" w14:textId="77777777" w:rsidR="00F47418" w:rsidRDefault="00F47418" w:rsidP="00D95A91">
      <w:pPr>
        <w:spacing w:after="0" w:line="240" w:lineRule="auto"/>
        <w:ind w:left="720" w:right="386"/>
        <w:jc w:val="center"/>
        <w:outlineLvl w:val="1"/>
        <w:rPr>
          <w:rFonts w:ascii="Arial" w:eastAsia="Times New Roman" w:hAnsi="Arial" w:cs="Arial"/>
          <w:b/>
          <w:bCs/>
          <w:sz w:val="18"/>
          <w:szCs w:val="18"/>
          <w:lang w:eastAsia="en-IN"/>
        </w:rPr>
      </w:pPr>
      <w:r w:rsidRPr="00D95A91">
        <w:rPr>
          <w:rFonts w:ascii="Arial" w:eastAsia="Times New Roman" w:hAnsi="Arial" w:cs="Arial"/>
          <w:b/>
          <w:bCs/>
          <w:sz w:val="18"/>
          <w:szCs w:val="18"/>
          <w:lang w:eastAsia="en-IN"/>
        </w:rPr>
        <w:t>Abstract</w:t>
      </w:r>
    </w:p>
    <w:p w14:paraId="37600808" w14:textId="77777777" w:rsidR="007E621C" w:rsidRPr="007E621C" w:rsidRDefault="007E621C" w:rsidP="00D95A91">
      <w:pPr>
        <w:spacing w:after="0" w:line="240" w:lineRule="auto"/>
        <w:ind w:left="720" w:right="386"/>
        <w:jc w:val="center"/>
        <w:outlineLvl w:val="1"/>
        <w:rPr>
          <w:rFonts w:ascii="Arial" w:eastAsia="Times New Roman" w:hAnsi="Arial" w:cs="Arial"/>
          <w:b/>
          <w:bCs/>
          <w:sz w:val="12"/>
          <w:szCs w:val="12"/>
          <w:lang w:eastAsia="en-IN"/>
        </w:rPr>
      </w:pPr>
    </w:p>
    <w:p w14:paraId="5F8CB737" w14:textId="77777777" w:rsidR="00D95A91" w:rsidRPr="007E621C" w:rsidRDefault="00D95A91" w:rsidP="00D95A91">
      <w:pPr>
        <w:spacing w:after="0" w:line="240" w:lineRule="auto"/>
        <w:ind w:left="720" w:right="386"/>
        <w:jc w:val="both"/>
        <w:outlineLvl w:val="1"/>
        <w:rPr>
          <w:rFonts w:ascii="Arial" w:eastAsia="Times New Roman" w:hAnsi="Arial" w:cs="Arial"/>
          <w:b/>
          <w:bCs/>
          <w:sz w:val="2"/>
          <w:szCs w:val="2"/>
          <w:lang w:eastAsia="en-IN"/>
        </w:rPr>
      </w:pPr>
    </w:p>
    <w:p w14:paraId="6ED600C7" w14:textId="77777777" w:rsidR="00F47418" w:rsidRDefault="00F47418" w:rsidP="007E621C">
      <w:pPr>
        <w:spacing w:after="0" w:line="240" w:lineRule="auto"/>
        <w:ind w:left="720" w:right="386"/>
        <w:jc w:val="both"/>
        <w:rPr>
          <w:rFonts w:ascii="Arial" w:eastAsia="Times New Roman" w:hAnsi="Arial" w:cs="Arial"/>
          <w:sz w:val="18"/>
          <w:szCs w:val="18"/>
          <w:lang w:eastAsia="en-IN"/>
        </w:rPr>
      </w:pPr>
      <w:r w:rsidRPr="00D95A91">
        <w:rPr>
          <w:rFonts w:ascii="Arial" w:eastAsia="Times New Roman" w:hAnsi="Arial" w:cs="Arial"/>
          <w:sz w:val="18"/>
          <w:szCs w:val="18"/>
          <w:lang w:eastAsia="en-IN"/>
        </w:rPr>
        <w:t xml:space="preserve">InBody India sells body composition analyzers to hospitals, clinics, gyms, corporates, and researchers in a complex, trust-heavy market where decisions are slow and multi-persona. A single sale may hinge on doctors seeking clinical validation, administrators weighing ROI, trainers prioritising usability, and corporate HR emphasising engagement and data privacy. Across a three-month internship in sales and marketing, the protagonist ran cold calls, demos, installations, and conference outreach, finding that patience, adaptive messaging, and experiential demos moved deals forward. Incidents include a five-hour wait for a doctor’s signature at Athani, persona-specific selling at Trendo 2025 in Chennai, and a corporate installation at Google Ananta that reframed value as workforce wellness and adoption. Frameworks such as Porter’s Five Forces, STEEPLE, and funnel mapping reveal high buyer power, intense rivalry, and steep drop-offs between demo and PO, while motivation models (Maslow, Herzberg, goal-setting) highlight micro-goals and coaching as buffers against rejection. The case challenges students to design a practical go-to-market playbook persona-aligned narratives, demo-first proof, event-led lead generation, CRM hygiene, escalation governance, and a post-sale AMC rhythm. Success is measured by demo-to-PO conversion, cycle time, stakeholder coverage, and repeat revenue from service and upgrades. The narrative grounds analysis in lived incidents across Indian settings. </w:t>
      </w:r>
    </w:p>
    <w:p w14:paraId="7116BF42" w14:textId="77777777" w:rsidR="00D95A91" w:rsidRPr="00D95A91" w:rsidRDefault="00D95A91" w:rsidP="00D95A91">
      <w:pPr>
        <w:spacing w:after="0" w:line="240" w:lineRule="auto"/>
        <w:ind w:left="720" w:right="386"/>
        <w:jc w:val="both"/>
        <w:rPr>
          <w:rFonts w:ascii="Arial" w:eastAsia="Times New Roman" w:hAnsi="Arial" w:cs="Arial"/>
          <w:sz w:val="18"/>
          <w:szCs w:val="18"/>
          <w:lang w:eastAsia="en-IN"/>
        </w:rPr>
      </w:pPr>
    </w:p>
    <w:p w14:paraId="22E8CF93" w14:textId="45945EE2" w:rsidR="00F47418" w:rsidRDefault="00F47418" w:rsidP="00D95A91">
      <w:pPr>
        <w:spacing w:after="0" w:line="240" w:lineRule="auto"/>
        <w:ind w:left="720" w:right="386"/>
        <w:jc w:val="both"/>
        <w:rPr>
          <w:rFonts w:ascii="Arial" w:eastAsia="Times New Roman" w:hAnsi="Arial" w:cs="Arial"/>
          <w:sz w:val="18"/>
          <w:szCs w:val="18"/>
          <w:lang w:eastAsia="en-IN"/>
        </w:rPr>
      </w:pPr>
      <w:r w:rsidRPr="00D95A91">
        <w:rPr>
          <w:rFonts w:ascii="Arial" w:eastAsia="Times New Roman" w:hAnsi="Arial" w:cs="Arial"/>
          <w:b/>
          <w:bCs/>
          <w:sz w:val="18"/>
          <w:szCs w:val="18"/>
          <w:lang w:eastAsia="en-IN"/>
        </w:rPr>
        <w:t>Keywords</w:t>
      </w:r>
      <w:r w:rsidR="00D95A91">
        <w:rPr>
          <w:rFonts w:ascii="Arial" w:eastAsia="Times New Roman" w:hAnsi="Arial" w:cs="Arial"/>
          <w:sz w:val="18"/>
          <w:szCs w:val="18"/>
          <w:lang w:eastAsia="en-IN"/>
        </w:rPr>
        <w:t xml:space="preserve"> : </w:t>
      </w:r>
      <w:r w:rsidRPr="00D95A91">
        <w:rPr>
          <w:rFonts w:ascii="Arial" w:eastAsia="Times New Roman" w:hAnsi="Arial" w:cs="Arial"/>
          <w:sz w:val="18"/>
          <w:szCs w:val="18"/>
          <w:lang w:eastAsia="en-IN"/>
        </w:rPr>
        <w:t>Medical device sales</w:t>
      </w:r>
      <w:r w:rsidR="00D95A91" w:rsidRPr="00D95A91">
        <w:rPr>
          <w:rFonts w:ascii="Arial" w:eastAsia="Times New Roman" w:hAnsi="Arial" w:cs="Arial"/>
          <w:sz w:val="18"/>
          <w:szCs w:val="18"/>
          <w:lang w:eastAsia="en-IN"/>
        </w:rPr>
        <w:t xml:space="preserve">, </w:t>
      </w:r>
      <w:r w:rsidRPr="00D95A91">
        <w:rPr>
          <w:rFonts w:ascii="Arial" w:eastAsia="Times New Roman" w:hAnsi="Arial" w:cs="Arial"/>
          <w:sz w:val="18"/>
          <w:szCs w:val="18"/>
          <w:lang w:eastAsia="en-IN"/>
        </w:rPr>
        <w:t>Experiential demos</w:t>
      </w:r>
      <w:r w:rsidR="00D95A91" w:rsidRPr="00D95A91">
        <w:rPr>
          <w:rFonts w:ascii="Arial" w:eastAsia="Times New Roman" w:hAnsi="Arial" w:cs="Arial"/>
          <w:sz w:val="18"/>
          <w:szCs w:val="18"/>
          <w:lang w:eastAsia="en-IN"/>
        </w:rPr>
        <w:t xml:space="preserve">, </w:t>
      </w:r>
      <w:r w:rsidRPr="00D95A91">
        <w:rPr>
          <w:rFonts w:ascii="Arial" w:eastAsia="Times New Roman" w:hAnsi="Arial" w:cs="Arial"/>
          <w:sz w:val="18"/>
          <w:szCs w:val="18"/>
          <w:lang w:eastAsia="en-IN"/>
        </w:rPr>
        <w:t xml:space="preserve"> Multi persona</w:t>
      </w:r>
      <w:r w:rsidR="00D95A91" w:rsidRPr="00D95A91">
        <w:rPr>
          <w:rFonts w:ascii="Arial" w:eastAsia="Times New Roman" w:hAnsi="Arial" w:cs="Arial"/>
          <w:sz w:val="18"/>
          <w:szCs w:val="18"/>
          <w:lang w:eastAsia="en-IN"/>
        </w:rPr>
        <w:t xml:space="preserve">, </w:t>
      </w:r>
      <w:r w:rsidRPr="00D95A91">
        <w:rPr>
          <w:rFonts w:ascii="Arial" w:eastAsia="Times New Roman" w:hAnsi="Arial" w:cs="Arial"/>
          <w:sz w:val="18"/>
          <w:szCs w:val="18"/>
          <w:lang w:eastAsia="en-IN"/>
        </w:rPr>
        <w:t>Motivation and resilience</w:t>
      </w:r>
      <w:r w:rsidR="00D95A91" w:rsidRPr="00D95A91">
        <w:rPr>
          <w:rFonts w:ascii="Arial" w:eastAsia="Times New Roman" w:hAnsi="Arial" w:cs="Arial"/>
          <w:sz w:val="18"/>
          <w:szCs w:val="18"/>
          <w:lang w:eastAsia="en-IN"/>
        </w:rPr>
        <w:t xml:space="preserve">, </w:t>
      </w:r>
      <w:r w:rsidRPr="00D95A91">
        <w:rPr>
          <w:rFonts w:ascii="Arial" w:eastAsia="Times New Roman" w:hAnsi="Arial" w:cs="Arial"/>
          <w:sz w:val="18"/>
          <w:szCs w:val="18"/>
          <w:lang w:eastAsia="en-IN"/>
        </w:rPr>
        <w:t xml:space="preserve"> B2B healthcare</w:t>
      </w:r>
    </w:p>
    <w:p w14:paraId="444B5262" w14:textId="77777777" w:rsidR="00D95A91" w:rsidRPr="00D95A91" w:rsidRDefault="00D95A91" w:rsidP="00D95A91">
      <w:pPr>
        <w:spacing w:after="0" w:line="240" w:lineRule="auto"/>
        <w:jc w:val="both"/>
        <w:rPr>
          <w:rFonts w:ascii="Arial" w:eastAsia="Times New Roman" w:hAnsi="Arial" w:cs="Arial"/>
          <w:sz w:val="18"/>
          <w:szCs w:val="18"/>
          <w:lang w:eastAsia="en-IN"/>
        </w:rPr>
      </w:pPr>
    </w:p>
    <w:p w14:paraId="7A6B1ABA" w14:textId="77777777" w:rsidR="007E621C" w:rsidRDefault="007E621C" w:rsidP="00F47418">
      <w:pPr>
        <w:spacing w:after="0" w:line="360" w:lineRule="auto"/>
        <w:jc w:val="both"/>
        <w:outlineLvl w:val="1"/>
        <w:rPr>
          <w:rFonts w:ascii="Arial" w:eastAsia="Times New Roman" w:hAnsi="Arial" w:cs="Arial"/>
          <w:b/>
          <w:bCs/>
          <w:sz w:val="24"/>
          <w:szCs w:val="24"/>
          <w:lang w:eastAsia="en-IN"/>
        </w:rPr>
        <w:sectPr w:rsidR="007E621C" w:rsidSect="00517632">
          <w:headerReference w:type="even" r:id="rId8"/>
          <w:headerReference w:type="default" r:id="rId9"/>
          <w:pgSz w:w="11906" w:h="16838" w:code="9"/>
          <w:pgMar w:top="1440" w:right="1440" w:bottom="1440" w:left="1440" w:header="1008" w:footer="720" w:gutter="0"/>
          <w:pgNumType w:start="29"/>
          <w:cols w:space="708"/>
          <w:docGrid w:linePitch="360"/>
        </w:sectPr>
      </w:pPr>
    </w:p>
    <w:p w14:paraId="587008DA" w14:textId="77777777" w:rsidR="00F47418" w:rsidRPr="007E621C" w:rsidRDefault="00F47418" w:rsidP="007E621C">
      <w:pPr>
        <w:spacing w:after="120" w:line="276" w:lineRule="auto"/>
        <w:jc w:val="center"/>
        <w:outlineLvl w:val="1"/>
        <w:rPr>
          <w:rFonts w:ascii="Arial" w:eastAsia="Times New Roman" w:hAnsi="Arial" w:cs="Arial"/>
          <w:b/>
          <w:bCs/>
          <w:caps/>
          <w:lang w:eastAsia="en-IN"/>
        </w:rPr>
      </w:pPr>
      <w:r w:rsidRPr="007E621C">
        <w:rPr>
          <w:rFonts w:ascii="Arial" w:eastAsia="Times New Roman" w:hAnsi="Arial" w:cs="Arial"/>
          <w:b/>
          <w:bCs/>
          <w:caps/>
          <w:lang w:eastAsia="en-IN"/>
        </w:rPr>
        <w:lastRenderedPageBreak/>
        <w:t>Case</w:t>
      </w:r>
    </w:p>
    <w:p w14:paraId="5D1073DA" w14:textId="77777777" w:rsidR="00F47418" w:rsidRPr="007E621C" w:rsidRDefault="00F47418" w:rsidP="007E621C">
      <w:pPr>
        <w:spacing w:after="120" w:line="276" w:lineRule="auto"/>
        <w:jc w:val="center"/>
        <w:outlineLvl w:val="2"/>
        <w:rPr>
          <w:rFonts w:ascii="Arial" w:eastAsia="Times New Roman" w:hAnsi="Arial" w:cs="Arial"/>
          <w:b/>
          <w:bCs/>
          <w:caps/>
          <w:lang w:eastAsia="en-IN"/>
        </w:rPr>
      </w:pPr>
      <w:r w:rsidRPr="007E621C">
        <w:rPr>
          <w:rFonts w:ascii="Arial" w:eastAsia="Times New Roman" w:hAnsi="Arial" w:cs="Arial"/>
          <w:b/>
          <w:bCs/>
          <w:caps/>
          <w:lang w:eastAsia="en-IN"/>
        </w:rPr>
        <w:t>About the industry</w:t>
      </w:r>
    </w:p>
    <w:p w14:paraId="5B39582C" w14:textId="77777777" w:rsidR="00F47418" w:rsidRPr="007E621C" w:rsidRDefault="00F47418" w:rsidP="007E621C">
      <w:pPr>
        <w:spacing w:after="120" w:line="276" w:lineRule="auto"/>
        <w:jc w:val="both"/>
        <w:rPr>
          <w:rFonts w:ascii="Arial" w:eastAsia="Times New Roman" w:hAnsi="Arial" w:cs="Arial"/>
          <w:lang w:eastAsia="en-IN"/>
        </w:rPr>
      </w:pPr>
      <w:r w:rsidRPr="007E621C">
        <w:rPr>
          <w:rFonts w:ascii="Arial" w:eastAsia="Times New Roman" w:hAnsi="Arial" w:cs="Arial"/>
          <w:lang w:eastAsia="en-IN"/>
        </w:rPr>
        <w:t xml:space="preserve">Medical device selling in India is relationship-driven and evidence-heavy, with long cycles and multiple decision makers. Doctors seek clinical validation, hospital administrators emphasise budget and ROI, staff users value workflow simplicity, and corporate HR prioritises privacy and adoption. Conferences compress discovery and trust-building, while demos act as proof moments that convert skepticism into curiosity. High buyer power and intense rivalry from global and local players keep margins and timelines under pressure, making credibility and persistence differentiators. </w:t>
      </w:r>
    </w:p>
    <w:p w14:paraId="41F871FE" w14:textId="77777777" w:rsidR="00F47418" w:rsidRPr="007E621C" w:rsidRDefault="00F47418" w:rsidP="007E621C">
      <w:pPr>
        <w:spacing w:after="120" w:line="276" w:lineRule="auto"/>
        <w:jc w:val="both"/>
        <w:outlineLvl w:val="2"/>
        <w:rPr>
          <w:rFonts w:ascii="Arial" w:eastAsia="Times New Roman" w:hAnsi="Arial" w:cs="Arial"/>
          <w:b/>
          <w:bCs/>
          <w:lang w:eastAsia="en-IN"/>
        </w:rPr>
      </w:pPr>
      <w:r w:rsidRPr="007E621C">
        <w:rPr>
          <w:rFonts w:ascii="Arial" w:eastAsia="Times New Roman" w:hAnsi="Arial" w:cs="Arial"/>
          <w:b/>
          <w:bCs/>
          <w:lang w:eastAsia="en-IN"/>
        </w:rPr>
        <w:t>Problems in the industry</w:t>
      </w:r>
    </w:p>
    <w:p w14:paraId="7339E73A" w14:textId="77777777" w:rsidR="00F47418" w:rsidRPr="007E621C" w:rsidRDefault="00F47418" w:rsidP="007E621C">
      <w:pPr>
        <w:spacing w:after="120" w:line="276" w:lineRule="auto"/>
        <w:ind w:firstLine="720"/>
        <w:jc w:val="both"/>
        <w:rPr>
          <w:rFonts w:ascii="Arial" w:eastAsia="Times New Roman" w:hAnsi="Arial" w:cs="Arial"/>
          <w:lang w:eastAsia="en-IN"/>
        </w:rPr>
      </w:pPr>
      <w:r w:rsidRPr="007E621C">
        <w:rPr>
          <w:rFonts w:ascii="Arial" w:eastAsia="Times New Roman" w:hAnsi="Arial" w:cs="Arial"/>
          <w:lang w:eastAsia="en-IN"/>
        </w:rPr>
        <w:t xml:space="preserve">Four frictions dominate. Long sales cycles create follow-up fatigue and </w:t>
      </w:r>
      <w:r w:rsidRPr="007E621C">
        <w:rPr>
          <w:rFonts w:ascii="Arial" w:eastAsia="Times New Roman" w:hAnsi="Arial" w:cs="Arial"/>
          <w:lang w:eastAsia="en-IN"/>
        </w:rPr>
        <w:lastRenderedPageBreak/>
        <w:t xml:space="preserve">forecasting uncertainty. Multi-persona buying centers stall when any stakeholder’s concerns remain unmet. Rejection is frequent across cold calls and demos, which often lack the final decision maker. Motivation erosion is common as sellers wait hours for brief approvals and endure repeated deferrals. Privacy and compliance queries add corporate-specific hurdles that shift value framing from clinical outcomes to workforce engagement and data governance. </w:t>
      </w:r>
    </w:p>
    <w:p w14:paraId="0F6880A1" w14:textId="77777777" w:rsidR="00F47418" w:rsidRPr="007E621C" w:rsidRDefault="00F47418" w:rsidP="007E621C">
      <w:pPr>
        <w:spacing w:after="120" w:line="276" w:lineRule="auto"/>
        <w:jc w:val="both"/>
        <w:outlineLvl w:val="2"/>
        <w:rPr>
          <w:rFonts w:ascii="Arial" w:eastAsia="Times New Roman" w:hAnsi="Arial" w:cs="Arial"/>
          <w:b/>
          <w:bCs/>
          <w:lang w:eastAsia="en-IN"/>
        </w:rPr>
      </w:pPr>
      <w:r w:rsidRPr="007E621C">
        <w:rPr>
          <w:rFonts w:ascii="Arial" w:eastAsia="Times New Roman" w:hAnsi="Arial" w:cs="Arial"/>
          <w:b/>
          <w:bCs/>
          <w:lang w:eastAsia="en-IN"/>
        </w:rPr>
        <w:t>About the company</w:t>
      </w:r>
    </w:p>
    <w:p w14:paraId="371B4AF9" w14:textId="77777777" w:rsidR="00F47418" w:rsidRDefault="00F47418" w:rsidP="007E621C">
      <w:pPr>
        <w:spacing w:after="120" w:line="276" w:lineRule="auto"/>
        <w:ind w:firstLine="720"/>
        <w:jc w:val="both"/>
        <w:rPr>
          <w:rFonts w:ascii="Arial" w:eastAsia="Times New Roman" w:hAnsi="Arial" w:cs="Arial"/>
          <w:lang w:eastAsia="en-IN"/>
        </w:rPr>
      </w:pPr>
      <w:r w:rsidRPr="007E621C">
        <w:rPr>
          <w:rFonts w:ascii="Arial" w:eastAsia="Times New Roman" w:hAnsi="Arial" w:cs="Arial"/>
          <w:lang w:eastAsia="en-IN"/>
        </w:rPr>
        <w:t>InBody is a global brand in body composition analysis serving hospitals, gyms, nutrition practices, corporates, and researchers. The Indian affiliate’s sales and marketing operations blend cold outreach, field demos, installations, and event participation. The internship spanned May to August 2025, covering persona-</w:t>
      </w:r>
      <w:r w:rsidRPr="007E621C">
        <w:rPr>
          <w:rFonts w:ascii="Arial" w:eastAsia="Times New Roman" w:hAnsi="Arial" w:cs="Arial"/>
          <w:lang w:eastAsia="en-IN"/>
        </w:rPr>
        <w:lastRenderedPageBreak/>
        <w:t xml:space="preserve">specific conversations at Trendo 2025 in Chennai, enterprise deployment at Google Ananta, and installation-acceptance dynamics at Athani. </w:t>
      </w:r>
    </w:p>
    <w:p w14:paraId="2D180BEC" w14:textId="77777777" w:rsidR="00F47418" w:rsidRPr="007E621C" w:rsidRDefault="00F47418" w:rsidP="007E621C">
      <w:pPr>
        <w:spacing w:after="120" w:line="276" w:lineRule="auto"/>
        <w:jc w:val="both"/>
        <w:outlineLvl w:val="2"/>
        <w:rPr>
          <w:rFonts w:ascii="Arial" w:eastAsia="Times New Roman" w:hAnsi="Arial" w:cs="Arial"/>
          <w:b/>
          <w:bCs/>
          <w:lang w:eastAsia="en-IN"/>
        </w:rPr>
      </w:pPr>
      <w:r w:rsidRPr="007E621C">
        <w:rPr>
          <w:rFonts w:ascii="Arial" w:eastAsia="Times New Roman" w:hAnsi="Arial" w:cs="Arial"/>
          <w:b/>
          <w:bCs/>
          <w:lang w:eastAsia="en-IN"/>
        </w:rPr>
        <w:t>Problems faced by the company</w:t>
      </w:r>
    </w:p>
    <w:p w14:paraId="0E8E31EE" w14:textId="77777777" w:rsidR="00F47418" w:rsidRPr="007E621C" w:rsidRDefault="00F47418" w:rsidP="007E621C">
      <w:pPr>
        <w:spacing w:after="120" w:line="276" w:lineRule="auto"/>
        <w:ind w:firstLine="720"/>
        <w:jc w:val="both"/>
        <w:rPr>
          <w:rFonts w:ascii="Arial" w:eastAsia="Times New Roman" w:hAnsi="Arial" w:cs="Arial"/>
          <w:lang w:eastAsia="en-IN"/>
        </w:rPr>
      </w:pPr>
      <w:r w:rsidRPr="007E621C">
        <w:rPr>
          <w:rFonts w:ascii="Arial" w:eastAsia="Times New Roman" w:hAnsi="Arial" w:cs="Arial"/>
          <w:lang w:eastAsia="en-IN"/>
        </w:rPr>
        <w:t xml:space="preserve">Observed bottlenecks included demo-to-PO drop-offs, stalled decisions when only one persona was convinced, long waits for signatures and administrative formalities, and CRM hygiene issues that obscured pipeline reality. While events yielded rich conversations, conversion still depended on tailored follow-ups, objection handling, and clear after-sales assurances. The human challenge was sustaining motivation through repeated rejections and delayed outcomes, even as occasional quick wins reinforced the value of persistence. </w:t>
      </w:r>
    </w:p>
    <w:p w14:paraId="001E3F19" w14:textId="77777777" w:rsidR="00F47418" w:rsidRPr="007E621C" w:rsidRDefault="00F47418" w:rsidP="007E621C">
      <w:pPr>
        <w:spacing w:after="120" w:line="276" w:lineRule="auto"/>
        <w:jc w:val="both"/>
        <w:outlineLvl w:val="2"/>
        <w:rPr>
          <w:rFonts w:ascii="Arial" w:eastAsia="Times New Roman" w:hAnsi="Arial" w:cs="Arial"/>
          <w:b/>
          <w:bCs/>
          <w:lang w:eastAsia="en-IN"/>
        </w:rPr>
      </w:pPr>
      <w:r w:rsidRPr="007E621C">
        <w:rPr>
          <w:rFonts w:ascii="Arial" w:eastAsia="Times New Roman" w:hAnsi="Arial" w:cs="Arial"/>
          <w:b/>
          <w:bCs/>
          <w:lang w:eastAsia="en-IN"/>
        </w:rPr>
        <w:t>Key strategies</w:t>
      </w:r>
    </w:p>
    <w:p w14:paraId="23674813" w14:textId="3A056AD3" w:rsidR="00F47418" w:rsidRPr="007E621C" w:rsidRDefault="00F47418" w:rsidP="007E621C">
      <w:pPr>
        <w:spacing w:after="120" w:line="276" w:lineRule="auto"/>
        <w:ind w:firstLine="720"/>
        <w:jc w:val="both"/>
        <w:rPr>
          <w:rFonts w:ascii="Arial" w:eastAsia="Times New Roman" w:hAnsi="Arial" w:cs="Arial"/>
          <w:lang w:eastAsia="en-IN"/>
        </w:rPr>
      </w:pPr>
      <w:r w:rsidRPr="007E621C">
        <w:rPr>
          <w:rFonts w:ascii="Arial" w:eastAsia="Times New Roman" w:hAnsi="Arial" w:cs="Arial"/>
          <w:lang w:eastAsia="en-IN"/>
        </w:rPr>
        <w:t>Persona-aligned storytelling that pairs clinical validation for doctors with ROI models for administrators, usability narratives for trainers, and privacy-adoption framing for HR. Demo-first proof with experiential trials and clear next steps that shorten time from interest to intent. Event-led lead generation playbooks that schedule post-event demos within a fixed window. CRM discipline with deduplication, stage hygiene, and cadence-bound follow-ups. Escalation governance that time</w:t>
      </w:r>
      <w:r w:rsidR="007E621C">
        <w:rPr>
          <w:rFonts w:ascii="Arial" w:eastAsia="Times New Roman" w:hAnsi="Arial" w:cs="Arial"/>
          <w:lang w:eastAsia="en-IN"/>
        </w:rPr>
        <w:t xml:space="preserve"> </w:t>
      </w:r>
      <w:r w:rsidRPr="007E621C">
        <w:rPr>
          <w:rFonts w:ascii="Arial" w:eastAsia="Times New Roman" w:hAnsi="Arial" w:cs="Arial"/>
          <w:lang w:eastAsia="en-IN"/>
        </w:rPr>
        <w:t xml:space="preserve">stamps issues and sets 24–48–72 hour actions. Post-sale assurance via AMC terms, training, and calibration schedules to convert first sale into repeat revenue. </w:t>
      </w:r>
    </w:p>
    <w:p w14:paraId="4C44B7E7" w14:textId="77777777" w:rsidR="00F47418" w:rsidRPr="007E621C" w:rsidRDefault="00F47418" w:rsidP="007E621C">
      <w:pPr>
        <w:spacing w:after="120" w:line="276" w:lineRule="auto"/>
        <w:jc w:val="both"/>
        <w:outlineLvl w:val="1"/>
        <w:rPr>
          <w:rFonts w:ascii="Arial" w:eastAsia="Times New Roman" w:hAnsi="Arial" w:cs="Arial"/>
          <w:b/>
          <w:bCs/>
          <w:lang w:eastAsia="en-IN"/>
        </w:rPr>
      </w:pPr>
      <w:r w:rsidRPr="007E621C">
        <w:rPr>
          <w:rFonts w:ascii="Arial" w:eastAsia="Times New Roman" w:hAnsi="Arial" w:cs="Arial"/>
          <w:b/>
          <w:bCs/>
          <w:lang w:eastAsia="en-IN"/>
        </w:rPr>
        <w:t>Innovation</w:t>
      </w:r>
    </w:p>
    <w:p w14:paraId="31D1020A" w14:textId="77777777" w:rsidR="00210DC7" w:rsidRDefault="00F47418" w:rsidP="00210DC7">
      <w:pPr>
        <w:spacing w:after="120" w:line="276" w:lineRule="auto"/>
        <w:jc w:val="both"/>
        <w:rPr>
          <w:rFonts w:ascii="Arial" w:eastAsia="Times New Roman" w:hAnsi="Arial" w:cs="Arial"/>
          <w:lang w:eastAsia="en-IN"/>
        </w:rPr>
      </w:pPr>
      <w:r w:rsidRPr="007E621C">
        <w:rPr>
          <w:rFonts w:ascii="Arial" w:eastAsia="Times New Roman" w:hAnsi="Arial" w:cs="Arial"/>
          <w:b/>
          <w:bCs/>
          <w:lang w:eastAsia="en-IN"/>
        </w:rPr>
        <w:t>New concepts and learning</w:t>
      </w:r>
      <w:r w:rsidR="00210DC7">
        <w:rPr>
          <w:rFonts w:ascii="Arial" w:eastAsia="Times New Roman" w:hAnsi="Arial" w:cs="Arial"/>
          <w:lang w:eastAsia="en-IN"/>
        </w:rPr>
        <w:t xml:space="preserve"> </w:t>
      </w:r>
      <w:r w:rsidRPr="007E621C">
        <w:rPr>
          <w:rFonts w:ascii="Arial" w:eastAsia="Times New Roman" w:hAnsi="Arial" w:cs="Arial"/>
          <w:b/>
          <w:bCs/>
          <w:lang w:eastAsia="en-IN"/>
        </w:rPr>
        <w:t>Experience-first proof loop</w:t>
      </w:r>
      <w:r w:rsidRPr="007E621C">
        <w:rPr>
          <w:rFonts w:ascii="Arial" w:eastAsia="Times New Roman" w:hAnsi="Arial" w:cs="Arial"/>
          <w:lang w:eastAsia="en-IN"/>
        </w:rPr>
        <w:t xml:space="preserve"> design every demo with a visible win, a scheduled next action, and a micro-trial to convert interest into intent.</w:t>
      </w:r>
      <w:r w:rsidRPr="007E621C">
        <w:rPr>
          <w:rFonts w:ascii="Arial" w:eastAsia="Times New Roman" w:hAnsi="Arial" w:cs="Arial"/>
          <w:lang w:eastAsia="en-IN"/>
        </w:rPr>
        <w:br/>
      </w:r>
      <w:r w:rsidRPr="007E621C">
        <w:rPr>
          <w:rFonts w:ascii="Arial" w:eastAsia="Times New Roman" w:hAnsi="Arial" w:cs="Arial"/>
          <w:b/>
          <w:bCs/>
          <w:lang w:eastAsia="en-IN"/>
        </w:rPr>
        <w:t>Persona coverage ledger</w:t>
      </w:r>
      <w:r w:rsidRPr="007E621C">
        <w:rPr>
          <w:rFonts w:ascii="Arial" w:eastAsia="Times New Roman" w:hAnsi="Arial" w:cs="Arial"/>
          <w:lang w:eastAsia="en-IN"/>
        </w:rPr>
        <w:t xml:space="preserve"> a one-page grid</w:t>
      </w:r>
      <w:r w:rsidR="00210DC7">
        <w:rPr>
          <w:rFonts w:ascii="Arial" w:eastAsia="Times New Roman" w:hAnsi="Arial" w:cs="Arial"/>
          <w:lang w:eastAsia="en-IN"/>
        </w:rPr>
        <w:t xml:space="preserve"> </w:t>
      </w:r>
      <w:r w:rsidRPr="007E621C">
        <w:rPr>
          <w:rFonts w:ascii="Arial" w:eastAsia="Times New Roman" w:hAnsi="Arial" w:cs="Arial"/>
          <w:lang w:eastAsia="en-IN"/>
        </w:rPr>
        <w:t>tracking which stakeholders have been convincingly addressed and which objections remain.</w:t>
      </w:r>
    </w:p>
    <w:p w14:paraId="76C1816C" w14:textId="77777777" w:rsidR="00210DC7" w:rsidRDefault="00F47418" w:rsidP="00210DC7">
      <w:pPr>
        <w:spacing w:after="120" w:line="276" w:lineRule="auto"/>
        <w:jc w:val="both"/>
        <w:rPr>
          <w:rFonts w:ascii="Arial" w:eastAsia="Times New Roman" w:hAnsi="Arial" w:cs="Arial"/>
          <w:lang w:eastAsia="en-IN"/>
        </w:rPr>
      </w:pPr>
      <w:r w:rsidRPr="007E621C">
        <w:rPr>
          <w:rFonts w:ascii="Arial" w:eastAsia="Times New Roman" w:hAnsi="Arial" w:cs="Arial"/>
          <w:b/>
          <w:bCs/>
          <w:lang w:eastAsia="en-IN"/>
        </w:rPr>
        <w:lastRenderedPageBreak/>
        <w:t>Motivation micro-goals system</w:t>
      </w:r>
      <w:r w:rsidRPr="007E621C">
        <w:rPr>
          <w:rFonts w:ascii="Arial" w:eastAsia="Times New Roman" w:hAnsi="Arial" w:cs="Arial"/>
          <w:lang w:eastAsia="en-IN"/>
        </w:rPr>
        <w:t xml:space="preserve"> daily</w:t>
      </w:r>
      <w:r w:rsidR="00210DC7">
        <w:rPr>
          <w:rFonts w:ascii="Arial" w:eastAsia="Times New Roman" w:hAnsi="Arial" w:cs="Arial"/>
          <w:lang w:eastAsia="en-IN"/>
        </w:rPr>
        <w:t xml:space="preserve"> </w:t>
      </w:r>
      <w:r w:rsidRPr="007E621C">
        <w:rPr>
          <w:rFonts w:ascii="Arial" w:eastAsia="Times New Roman" w:hAnsi="Arial" w:cs="Arial"/>
          <w:lang w:eastAsia="en-IN"/>
        </w:rPr>
        <w:t>targets for calls, demos set, and qualified follow-ups that transform long cycles into visible progress.</w:t>
      </w:r>
    </w:p>
    <w:p w14:paraId="034FE739" w14:textId="788F14AD" w:rsidR="00F47418" w:rsidRPr="007E621C" w:rsidRDefault="00F47418" w:rsidP="00210DC7">
      <w:pPr>
        <w:spacing w:after="120" w:line="276" w:lineRule="auto"/>
        <w:jc w:val="both"/>
        <w:rPr>
          <w:rFonts w:ascii="Arial" w:eastAsia="Times New Roman" w:hAnsi="Arial" w:cs="Arial"/>
          <w:lang w:eastAsia="en-IN"/>
        </w:rPr>
      </w:pPr>
      <w:r w:rsidRPr="007E621C">
        <w:rPr>
          <w:rFonts w:ascii="Arial" w:eastAsia="Times New Roman" w:hAnsi="Arial" w:cs="Arial"/>
          <w:b/>
          <w:bCs/>
          <w:lang w:eastAsia="en-IN"/>
        </w:rPr>
        <w:t>Event accelerator protocol</w:t>
      </w:r>
      <w:r w:rsidRPr="007E621C">
        <w:rPr>
          <w:rFonts w:ascii="Arial" w:eastAsia="Times New Roman" w:hAnsi="Arial" w:cs="Arial"/>
          <w:lang w:eastAsia="en-IN"/>
        </w:rPr>
        <w:t xml:space="preserve"> pre-book post-conference demos, segment leads by persona, and trigger playbooks within seven days to prevent decay. </w:t>
      </w:r>
    </w:p>
    <w:p w14:paraId="7CC977A6" w14:textId="77777777" w:rsidR="007E621C" w:rsidRDefault="00F47418" w:rsidP="007E621C">
      <w:pPr>
        <w:spacing w:after="120" w:line="276" w:lineRule="auto"/>
        <w:rPr>
          <w:rFonts w:ascii="Arial" w:eastAsia="Times New Roman" w:hAnsi="Arial" w:cs="Arial"/>
          <w:lang w:eastAsia="en-IN"/>
        </w:rPr>
      </w:pPr>
      <w:r w:rsidRPr="007E621C">
        <w:rPr>
          <w:rFonts w:ascii="Arial" w:eastAsia="Times New Roman" w:hAnsi="Arial" w:cs="Arial"/>
          <w:b/>
          <w:bCs/>
          <w:lang w:eastAsia="en-IN"/>
        </w:rPr>
        <w:t>Ideas concerning the whole concept</w:t>
      </w:r>
    </w:p>
    <w:p w14:paraId="2B662211" w14:textId="548B3DAA" w:rsidR="00F47418" w:rsidRPr="007E621C" w:rsidRDefault="00F47418" w:rsidP="007E621C">
      <w:pPr>
        <w:spacing w:after="120" w:line="276" w:lineRule="auto"/>
        <w:ind w:firstLine="720"/>
        <w:jc w:val="both"/>
        <w:rPr>
          <w:rFonts w:ascii="Arial" w:eastAsia="Times New Roman" w:hAnsi="Arial" w:cs="Arial"/>
          <w:lang w:eastAsia="en-IN"/>
        </w:rPr>
      </w:pPr>
      <w:r w:rsidRPr="007E621C">
        <w:rPr>
          <w:rFonts w:ascii="Arial" w:eastAsia="Times New Roman" w:hAnsi="Arial" w:cs="Arial"/>
          <w:lang w:eastAsia="en-IN"/>
        </w:rPr>
        <w:t xml:space="preserve">Selling medical technology is selling trust; experiential proof, transparent economics, and after-sales credibility must converge to align diverse stakeholders and sustain motivation over slow cycles. </w:t>
      </w:r>
    </w:p>
    <w:p w14:paraId="0835AE0A" w14:textId="77777777" w:rsidR="00F47418" w:rsidRPr="007E621C" w:rsidRDefault="00F47418" w:rsidP="007E621C">
      <w:pPr>
        <w:spacing w:after="120" w:line="276" w:lineRule="auto"/>
        <w:jc w:val="center"/>
        <w:outlineLvl w:val="1"/>
        <w:rPr>
          <w:rFonts w:ascii="Arial" w:eastAsia="Times New Roman" w:hAnsi="Arial" w:cs="Arial"/>
          <w:b/>
          <w:bCs/>
          <w:caps/>
          <w:lang w:eastAsia="en-IN"/>
        </w:rPr>
      </w:pPr>
      <w:r w:rsidRPr="007E621C">
        <w:rPr>
          <w:rFonts w:ascii="Arial" w:eastAsia="Times New Roman" w:hAnsi="Arial" w:cs="Arial"/>
          <w:b/>
          <w:bCs/>
          <w:caps/>
          <w:lang w:eastAsia="en-IN"/>
        </w:rPr>
        <w:t>Conclusion</w:t>
      </w:r>
    </w:p>
    <w:p w14:paraId="0E62612B" w14:textId="77777777" w:rsidR="00F47418" w:rsidRPr="007E621C" w:rsidRDefault="00F47418" w:rsidP="007E621C">
      <w:pPr>
        <w:spacing w:after="120" w:line="276" w:lineRule="auto"/>
        <w:ind w:firstLine="720"/>
        <w:jc w:val="both"/>
        <w:rPr>
          <w:rFonts w:ascii="Arial" w:eastAsia="Times New Roman" w:hAnsi="Arial" w:cs="Arial"/>
          <w:lang w:eastAsia="en-IN"/>
        </w:rPr>
      </w:pPr>
      <w:r w:rsidRPr="007E621C">
        <w:rPr>
          <w:rFonts w:ascii="Arial" w:eastAsia="Times New Roman" w:hAnsi="Arial" w:cs="Arial"/>
          <w:lang w:eastAsia="en-IN"/>
        </w:rPr>
        <w:t xml:space="preserve">A resilient go-to-market for InBody India blends persona-specific value framing with experience-first demos, disciplined follow-ups, and credible post-sale commitments. Events act as trust accelerators, but conversion depends on CRM hygiene, escalation discipline, and motivation systems that turn rejection into learning. By institutionalising these routines, teams can improve demo-to-PO conversion, shorten cycle time, and expand repeat revenue from service and upgrades—outcomes that reinforce confidence for both sellers and buyers in a demanding, relationship-centred market. </w:t>
      </w:r>
    </w:p>
    <w:p w14:paraId="6F36768D" w14:textId="77777777" w:rsidR="00F47418" w:rsidRPr="007E621C" w:rsidRDefault="00F47418" w:rsidP="007E621C">
      <w:pPr>
        <w:spacing w:after="120" w:line="276" w:lineRule="auto"/>
        <w:jc w:val="center"/>
        <w:outlineLvl w:val="1"/>
        <w:rPr>
          <w:rFonts w:ascii="Arial" w:eastAsia="Times New Roman" w:hAnsi="Arial" w:cs="Arial"/>
          <w:b/>
          <w:bCs/>
          <w:caps/>
          <w:lang w:eastAsia="en-IN"/>
        </w:rPr>
      </w:pPr>
      <w:r w:rsidRPr="007E621C">
        <w:rPr>
          <w:rFonts w:ascii="Arial" w:eastAsia="Times New Roman" w:hAnsi="Arial" w:cs="Arial"/>
          <w:b/>
          <w:bCs/>
          <w:caps/>
          <w:lang w:eastAsia="en-IN"/>
        </w:rPr>
        <w:t>Case questions</w:t>
      </w:r>
    </w:p>
    <w:p w14:paraId="176EE773" w14:textId="77777777" w:rsidR="00F47418" w:rsidRPr="007E621C" w:rsidRDefault="00F47418" w:rsidP="007E621C">
      <w:pPr>
        <w:numPr>
          <w:ilvl w:val="0"/>
          <w:numId w:val="1"/>
        </w:numPr>
        <w:tabs>
          <w:tab w:val="clear" w:pos="720"/>
        </w:tabs>
        <w:spacing w:after="120" w:line="276" w:lineRule="auto"/>
        <w:ind w:left="270"/>
        <w:jc w:val="both"/>
        <w:rPr>
          <w:rFonts w:ascii="Arial" w:eastAsia="Times New Roman" w:hAnsi="Arial" w:cs="Arial"/>
          <w:lang w:eastAsia="en-IN"/>
        </w:rPr>
      </w:pPr>
      <w:r w:rsidRPr="007E621C">
        <w:rPr>
          <w:rFonts w:ascii="Arial" w:eastAsia="Times New Roman" w:hAnsi="Arial" w:cs="Arial"/>
          <w:lang w:eastAsia="en-IN"/>
        </w:rPr>
        <w:t xml:space="preserve">Map the buying center for a tertiary hospital and a corporate wellness client How does the narrative change for each persona and what proof does each require </w:t>
      </w:r>
    </w:p>
    <w:p w14:paraId="14B1F3BB" w14:textId="77777777" w:rsidR="00F47418" w:rsidRPr="007E621C" w:rsidRDefault="00F47418" w:rsidP="007E621C">
      <w:pPr>
        <w:numPr>
          <w:ilvl w:val="0"/>
          <w:numId w:val="1"/>
        </w:numPr>
        <w:tabs>
          <w:tab w:val="clear" w:pos="720"/>
        </w:tabs>
        <w:spacing w:after="120" w:line="276" w:lineRule="auto"/>
        <w:ind w:left="270"/>
        <w:jc w:val="both"/>
        <w:rPr>
          <w:rFonts w:ascii="Arial" w:eastAsia="Times New Roman" w:hAnsi="Arial" w:cs="Arial"/>
          <w:lang w:eastAsia="en-IN"/>
        </w:rPr>
      </w:pPr>
      <w:r w:rsidRPr="007E621C">
        <w:rPr>
          <w:rFonts w:ascii="Arial" w:eastAsia="Times New Roman" w:hAnsi="Arial" w:cs="Arial"/>
          <w:lang w:eastAsia="en-IN"/>
        </w:rPr>
        <w:t xml:space="preserve">Design a post-demo playbook with time-boxed steps to convert interest to intent What metrics would you track weekly to avoid pipeline decay </w:t>
      </w:r>
    </w:p>
    <w:p w14:paraId="09E01551" w14:textId="77777777" w:rsidR="00F47418" w:rsidRPr="007E621C" w:rsidRDefault="00F47418" w:rsidP="007E621C">
      <w:pPr>
        <w:numPr>
          <w:ilvl w:val="0"/>
          <w:numId w:val="1"/>
        </w:numPr>
        <w:tabs>
          <w:tab w:val="clear" w:pos="720"/>
        </w:tabs>
        <w:spacing w:after="120" w:line="276" w:lineRule="auto"/>
        <w:ind w:left="270"/>
        <w:jc w:val="both"/>
        <w:rPr>
          <w:rFonts w:ascii="Arial" w:eastAsia="Times New Roman" w:hAnsi="Arial" w:cs="Arial"/>
          <w:lang w:eastAsia="en-IN"/>
        </w:rPr>
      </w:pPr>
      <w:r w:rsidRPr="007E621C">
        <w:rPr>
          <w:rFonts w:ascii="Arial" w:eastAsia="Times New Roman" w:hAnsi="Arial" w:cs="Arial"/>
          <w:lang w:eastAsia="en-IN"/>
        </w:rPr>
        <w:t xml:space="preserve">Build a minimal yet credible ROI model for administrators and HR that balances clinical outcomes and engagement </w:t>
      </w:r>
      <w:r w:rsidRPr="007E621C">
        <w:rPr>
          <w:rFonts w:ascii="Arial" w:eastAsia="Times New Roman" w:hAnsi="Arial" w:cs="Arial"/>
          <w:lang w:eastAsia="en-IN"/>
        </w:rPr>
        <w:lastRenderedPageBreak/>
        <w:t xml:space="preserve">benefits What assumptions will you stress-test </w:t>
      </w:r>
    </w:p>
    <w:p w14:paraId="749E89BB" w14:textId="77777777" w:rsidR="00F47418" w:rsidRPr="007E621C" w:rsidRDefault="00F47418" w:rsidP="007E621C">
      <w:pPr>
        <w:numPr>
          <w:ilvl w:val="0"/>
          <w:numId w:val="1"/>
        </w:numPr>
        <w:tabs>
          <w:tab w:val="clear" w:pos="720"/>
        </w:tabs>
        <w:spacing w:after="120" w:line="276" w:lineRule="auto"/>
        <w:ind w:left="270"/>
        <w:jc w:val="both"/>
        <w:rPr>
          <w:rFonts w:ascii="Arial" w:eastAsia="Times New Roman" w:hAnsi="Arial" w:cs="Arial"/>
          <w:lang w:eastAsia="en-IN"/>
        </w:rPr>
      </w:pPr>
      <w:r w:rsidRPr="007E621C">
        <w:rPr>
          <w:rFonts w:ascii="Arial" w:eastAsia="Times New Roman" w:hAnsi="Arial" w:cs="Arial"/>
          <w:lang w:eastAsia="en-IN"/>
        </w:rPr>
        <w:t xml:space="preserve">Propose a motivation system for field sellers combining micro-goals coaching and recognition How will you measure resilience without glamorising burnout </w:t>
      </w:r>
    </w:p>
    <w:p w14:paraId="0116CBD0" w14:textId="77777777" w:rsidR="00F47418" w:rsidRPr="007E621C" w:rsidRDefault="00F47418" w:rsidP="007E621C">
      <w:pPr>
        <w:numPr>
          <w:ilvl w:val="0"/>
          <w:numId w:val="1"/>
        </w:numPr>
        <w:tabs>
          <w:tab w:val="clear" w:pos="720"/>
        </w:tabs>
        <w:spacing w:after="120" w:line="276" w:lineRule="auto"/>
        <w:ind w:left="270"/>
        <w:jc w:val="both"/>
        <w:rPr>
          <w:rFonts w:ascii="Arial" w:eastAsia="Times New Roman" w:hAnsi="Arial" w:cs="Arial"/>
          <w:lang w:eastAsia="en-IN"/>
        </w:rPr>
      </w:pPr>
      <w:r w:rsidRPr="007E621C">
        <w:rPr>
          <w:rFonts w:ascii="Arial" w:eastAsia="Times New Roman" w:hAnsi="Arial" w:cs="Arial"/>
          <w:lang w:eastAsia="en-IN"/>
        </w:rPr>
        <w:t xml:space="preserve">What AMC and training terms best convert a first sale into sustained adoption and upgrade potential in gyms versus hospitals </w:t>
      </w:r>
    </w:p>
    <w:p w14:paraId="6295AE39" w14:textId="77777777" w:rsidR="00320E03" w:rsidRPr="007E621C" w:rsidRDefault="00320E03" w:rsidP="007E621C">
      <w:pPr>
        <w:spacing w:after="120" w:line="276" w:lineRule="auto"/>
        <w:jc w:val="both"/>
        <w:rPr>
          <w:rFonts w:ascii="Arial" w:hAnsi="Arial" w:cs="Arial"/>
        </w:rPr>
      </w:pPr>
    </w:p>
    <w:sectPr w:rsidR="00320E03" w:rsidRPr="007E621C" w:rsidSect="007E621C">
      <w:type w:val="continuous"/>
      <w:pgSz w:w="11906" w:h="16838" w:code="9"/>
      <w:pgMar w:top="1440" w:right="1440" w:bottom="1440" w:left="1440" w:header="1008" w:footer="720"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98E79" w14:textId="77777777" w:rsidR="00E51784" w:rsidRDefault="00E51784" w:rsidP="00081EE6">
      <w:pPr>
        <w:spacing w:after="0" w:line="240" w:lineRule="auto"/>
      </w:pPr>
      <w:r>
        <w:separator/>
      </w:r>
    </w:p>
  </w:endnote>
  <w:endnote w:type="continuationSeparator" w:id="0">
    <w:p w14:paraId="76E4CA50" w14:textId="77777777" w:rsidR="00E51784" w:rsidRDefault="00E51784" w:rsidP="00081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45333" w14:textId="77777777" w:rsidR="00E51784" w:rsidRDefault="00E51784" w:rsidP="00081EE6">
      <w:pPr>
        <w:spacing w:after="0" w:line="240" w:lineRule="auto"/>
      </w:pPr>
      <w:r>
        <w:separator/>
      </w:r>
    </w:p>
  </w:footnote>
  <w:footnote w:type="continuationSeparator" w:id="0">
    <w:p w14:paraId="30191500" w14:textId="77777777" w:rsidR="00E51784" w:rsidRDefault="00E51784" w:rsidP="00081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817A5" w14:textId="05EC97E5" w:rsidR="00081EE6" w:rsidRPr="00081EE6" w:rsidRDefault="00081EE6" w:rsidP="00081EE6">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sidR="00394243">
      <w:rPr>
        <w:rFonts w:ascii="Arial" w:hAnsi="Arial" w:cs="Arial"/>
        <w:noProof/>
        <w:sz w:val="16"/>
        <w:szCs w:val="16"/>
      </w:rPr>
      <w:t>30</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Business and Management</w:t>
    </w:r>
    <w:r w:rsidRPr="00B62BAE">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w:t>
    </w:r>
    <w:r w:rsidR="00C73D55">
      <w:rPr>
        <w:rFonts w:ascii="Arial" w:eastAsia="Arial" w:hAnsi="Arial" w:cs="Arial"/>
        <w:i/>
        <w:color w:val="000000"/>
        <w:spacing w:val="-1"/>
        <w:sz w:val="16"/>
        <w:szCs w:val="16"/>
      </w:rPr>
      <w:t>December</w:t>
    </w:r>
    <w:r>
      <w:rPr>
        <w:rFonts w:ascii="Arial" w:eastAsia="Arial" w:hAnsi="Arial" w:cs="Arial"/>
        <w:i/>
        <w:color w:val="000000"/>
        <w:spacing w:val="-1"/>
        <w:sz w:val="16"/>
        <w:szCs w:val="16"/>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278E6" w14:textId="238D9EFB" w:rsidR="00081EE6" w:rsidRPr="00517632" w:rsidRDefault="00517632" w:rsidP="00517632">
    <w:pPr>
      <w:pStyle w:val="Header"/>
      <w:pBdr>
        <w:bottom w:val="single" w:sz="4" w:space="1" w:color="auto"/>
      </w:pBdr>
      <w:rPr>
        <w:rFonts w:ascii="Arial" w:hAnsi="Arial" w:cs="Arial"/>
        <w:sz w:val="16"/>
        <w:szCs w:val="16"/>
      </w:rPr>
    </w:pPr>
    <w:r w:rsidRPr="00B62BAE">
      <w:rPr>
        <w:rFonts w:ascii="Arial" w:hAnsi="Arial" w:cs="Arial"/>
        <w:sz w:val="16"/>
        <w:szCs w:val="16"/>
      </w:rPr>
      <w:t>20</w:t>
    </w:r>
    <w:r>
      <w:rPr>
        <w:rFonts w:ascii="Arial" w:hAnsi="Arial" w:cs="Arial"/>
        <w:sz w:val="16"/>
        <w:szCs w:val="16"/>
      </w:rPr>
      <w:t>25</w:t>
    </w:r>
    <w:r w:rsidRPr="00B62BAE">
      <w:rPr>
        <w:rFonts w:ascii="Arial" w:hAnsi="Arial" w:cs="Arial"/>
        <w:sz w:val="16"/>
        <w:szCs w:val="16"/>
      </w:rPr>
      <w:tab/>
    </w:r>
    <w:r>
      <w:rPr>
        <w:rFonts w:ascii="Arial" w:hAnsi="Arial" w:cs="Arial"/>
        <w:sz w:val="16"/>
        <w:szCs w:val="16"/>
      </w:rPr>
      <w:t>Varun, Dr. M. Govindaraj</w:t>
    </w:r>
    <w:r w:rsidRPr="00B62BAE">
      <w:rPr>
        <w:rFonts w:ascii="Arial" w:hAnsi="Arial" w:cs="Arial"/>
        <w:sz w:val="16"/>
        <w:szCs w:val="16"/>
      </w:rPr>
      <w:tab/>
    </w: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sidR="00394243">
      <w:rPr>
        <w:rFonts w:ascii="Arial" w:hAnsi="Arial" w:cs="Arial"/>
        <w:noProof/>
        <w:sz w:val="16"/>
        <w:szCs w:val="16"/>
      </w:rPr>
      <w:t>29</w:t>
    </w:r>
    <w:r w:rsidRPr="00B62BAE">
      <w:rPr>
        <w:rFonts w:ascii="Arial" w:hAnsi="Arial" w:cs="Arial"/>
        <w:noProof/>
        <w:sz w:val="16"/>
        <w:szCs w:val="1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72880"/>
    <w:multiLevelType w:val="multilevel"/>
    <w:tmpl w:val="EEE44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18"/>
    <w:rsid w:val="00081EE6"/>
    <w:rsid w:val="000B35F2"/>
    <w:rsid w:val="00210DC7"/>
    <w:rsid w:val="00320E03"/>
    <w:rsid w:val="00394243"/>
    <w:rsid w:val="004C3C67"/>
    <w:rsid w:val="00505D7B"/>
    <w:rsid w:val="00517632"/>
    <w:rsid w:val="00545B48"/>
    <w:rsid w:val="00552680"/>
    <w:rsid w:val="0055375B"/>
    <w:rsid w:val="007D72AB"/>
    <w:rsid w:val="007E0FCD"/>
    <w:rsid w:val="007E621C"/>
    <w:rsid w:val="00872994"/>
    <w:rsid w:val="00963315"/>
    <w:rsid w:val="00AA519A"/>
    <w:rsid w:val="00BA48FD"/>
    <w:rsid w:val="00C73D55"/>
    <w:rsid w:val="00D95A91"/>
    <w:rsid w:val="00E51784"/>
    <w:rsid w:val="00F47418"/>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B5BD7"/>
  <w15:chartTrackingRefBased/>
  <w15:docId w15:val="{E93CF202-1FA4-400F-95D0-E09B44DC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474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F4741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F4741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418"/>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F4741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F47418"/>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F4741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47418"/>
    <w:rPr>
      <w:b/>
      <w:bCs/>
    </w:rPr>
  </w:style>
  <w:style w:type="table" w:styleId="TableGrid">
    <w:name w:val="Table Grid"/>
    <w:basedOn w:val="TableNormal"/>
    <w:uiPriority w:val="39"/>
    <w:rsid w:val="00D95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1E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EE6"/>
  </w:style>
  <w:style w:type="paragraph" w:styleId="Footer">
    <w:name w:val="footer"/>
    <w:basedOn w:val="Normal"/>
    <w:link w:val="FooterChar"/>
    <w:uiPriority w:val="99"/>
    <w:unhideWhenUsed/>
    <w:rsid w:val="00081E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EE6"/>
  </w:style>
  <w:style w:type="character" w:styleId="Hyperlink">
    <w:name w:val="Hyperlink"/>
    <w:basedOn w:val="DefaultParagraphFont"/>
    <w:uiPriority w:val="99"/>
    <w:unhideWhenUsed/>
    <w:rsid w:val="003942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26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76981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CMS-STAFF139</dc:creator>
  <cp:keywords/>
  <dc:description/>
  <cp:lastModifiedBy>CMS-STAFF139</cp:lastModifiedBy>
  <cp:revision>3</cp:revision>
  <dcterms:created xsi:type="dcterms:W3CDTF">2025-11-24T09:57:00Z</dcterms:created>
  <dcterms:modified xsi:type="dcterms:W3CDTF">2025-11-24T10:02:00Z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2025-11-14T04:30:39Z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2233788e-8b2f-4480-8d4a-27a2933a6283</vt:lpwstr>
  </property>
  <property fmtid="{D5CDD505-2E9C-101B-9397-08002B2CF9AE}" pid="7" name="MSIP_Label_defa4170-0d19-0005-0004-bc88714345d2_ActionId">
    <vt:lpwstr>b27d768f-74c0-4158-ba6e-31dd4af5c0f5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