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DC3F4" w14:textId="0D3D97EF" w:rsidR="008D03A4" w:rsidRDefault="0066424E" w:rsidP="0066424E">
      <w:pPr>
        <w:spacing w:after="0" w:line="160" w:lineRule="atLeast"/>
        <w:jc w:val="both"/>
        <w:rPr>
          <w:rFonts w:ascii="Arial" w:eastAsia="Arial" w:hAnsi="Arial" w:cs="Arial"/>
          <w:i/>
          <w:color w:val="000000" w:themeColor="text1"/>
          <w:spacing w:val="-1"/>
          <w:sz w:val="14"/>
          <w:szCs w:val="14"/>
        </w:rPr>
      </w:pPr>
      <w:bookmarkStart w:id="0" w:name="_Hlk214371776"/>
      <w:r w:rsidRPr="00FA13C3">
        <w:rPr>
          <w:rFonts w:ascii="Arial" w:eastAsia="Arial" w:hAnsi="Arial" w:cs="Arial"/>
          <w:i/>
          <w:color w:val="000000"/>
          <w:sz w:val="14"/>
          <w:szCs w:val="14"/>
        </w:rPr>
        <w:t>©</w:t>
      </w:r>
      <w:r w:rsidRPr="00FA13C3">
        <w:rPr>
          <w:rFonts w:ascii="Arial" w:eastAsia="Arial" w:hAnsi="Arial" w:cs="Arial"/>
          <w:i/>
          <w:color w:val="000000"/>
          <w:spacing w:val="-1"/>
          <w:sz w:val="14"/>
          <w:szCs w:val="14"/>
        </w:rPr>
        <w:t xml:space="preserve"> </w:t>
      </w:r>
      <w:r w:rsidRPr="00FA13C3">
        <w:rPr>
          <w:rFonts w:ascii="Arial" w:eastAsia="Arial" w:hAnsi="Arial" w:cs="Arial"/>
          <w:i/>
          <w:color w:val="000000"/>
          <w:sz w:val="14"/>
          <w:szCs w:val="14"/>
        </w:rPr>
        <w:t>International</w:t>
      </w:r>
      <w:r w:rsidRPr="00FA13C3">
        <w:rPr>
          <w:rFonts w:ascii="Arial" w:eastAsia="Arial" w:hAnsi="Arial" w:cs="Arial"/>
          <w:i/>
          <w:color w:val="000000"/>
          <w:spacing w:val="-1"/>
          <w:sz w:val="14"/>
          <w:szCs w:val="14"/>
        </w:rPr>
        <w:t xml:space="preserve"> Academic Research Journal of Business and Management</w:t>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sidR="008D03A4">
        <w:rPr>
          <w:rFonts w:ascii="Arial" w:eastAsia="Arial" w:hAnsi="Arial" w:cs="Arial"/>
          <w:i/>
          <w:color w:val="000000"/>
          <w:spacing w:val="-1"/>
          <w:sz w:val="14"/>
          <w:szCs w:val="14"/>
        </w:rPr>
        <w:t xml:space="preserve">                            </w:t>
      </w:r>
      <w:r w:rsidR="00197B5C">
        <w:rPr>
          <w:rFonts w:ascii="Arial" w:eastAsia="Arial" w:hAnsi="Arial" w:cs="Arial"/>
          <w:i/>
          <w:color w:val="000000"/>
          <w:spacing w:val="-1"/>
          <w:sz w:val="14"/>
          <w:szCs w:val="14"/>
        </w:rPr>
        <w:t xml:space="preserve">         </w:t>
      </w:r>
      <w:r w:rsidR="008D03A4">
        <w:rPr>
          <w:rFonts w:ascii="Arial" w:eastAsia="Arial" w:hAnsi="Arial" w:cs="Arial"/>
          <w:i/>
          <w:color w:val="000000"/>
          <w:spacing w:val="-1"/>
          <w:sz w:val="14"/>
          <w:szCs w:val="14"/>
        </w:rPr>
        <w:t xml:space="preserve"> </w:t>
      </w:r>
      <w:r w:rsidRPr="00812D87">
        <w:rPr>
          <w:rFonts w:ascii="Arial" w:eastAsia="Arial" w:hAnsi="Arial" w:cs="Arial"/>
          <w:i/>
          <w:color w:val="000000" w:themeColor="text1"/>
          <w:spacing w:val="-1"/>
          <w:sz w:val="14"/>
          <w:szCs w:val="14"/>
        </w:rPr>
        <w:t>ISSN:2227-1287</w:t>
      </w:r>
    </w:p>
    <w:p w14:paraId="5C898005" w14:textId="62594B13" w:rsidR="008D03A4" w:rsidRDefault="0066424E" w:rsidP="0066424E">
      <w:pPr>
        <w:spacing w:after="0" w:line="160" w:lineRule="atLeast"/>
        <w:jc w:val="both"/>
        <w:rPr>
          <w:rFonts w:ascii="Arial" w:eastAsia="Arial" w:hAnsi="Arial" w:cs="Arial"/>
          <w:i/>
          <w:spacing w:val="-1"/>
          <w:sz w:val="14"/>
          <w:szCs w:val="14"/>
        </w:rPr>
      </w:pPr>
      <w:r w:rsidRPr="00DF2646">
        <w:rPr>
          <w:rFonts w:ascii="Arial" w:eastAsia="Arial" w:hAnsi="Arial" w:cs="Arial"/>
          <w:i/>
          <w:color w:val="000000"/>
          <w:spacing w:val="-1"/>
          <w:sz w:val="14"/>
          <w:szCs w:val="14"/>
        </w:rPr>
        <w:t>Volume 13, Iss</w:t>
      </w:r>
      <w:r>
        <w:rPr>
          <w:rFonts w:ascii="Arial" w:eastAsia="Arial" w:hAnsi="Arial" w:cs="Arial"/>
          <w:i/>
          <w:color w:val="000000"/>
          <w:spacing w:val="-1"/>
          <w:sz w:val="14"/>
          <w:szCs w:val="14"/>
        </w:rPr>
        <w:t>ue</w:t>
      </w:r>
      <w:r w:rsidRPr="00DF2646">
        <w:rPr>
          <w:rFonts w:ascii="Arial" w:eastAsia="Arial" w:hAnsi="Arial" w:cs="Arial"/>
          <w:i/>
          <w:color w:val="000000"/>
          <w:spacing w:val="-1"/>
          <w:sz w:val="14"/>
          <w:szCs w:val="14"/>
        </w:rPr>
        <w:t xml:space="preserve"> No:</w:t>
      </w:r>
      <w:r>
        <w:rPr>
          <w:rFonts w:ascii="Arial" w:eastAsia="Arial" w:hAnsi="Arial" w:cs="Arial"/>
          <w:i/>
          <w:color w:val="000000"/>
          <w:spacing w:val="-1"/>
          <w:sz w:val="14"/>
          <w:szCs w:val="14"/>
        </w:rPr>
        <w:t>2</w:t>
      </w:r>
      <w:r w:rsidRPr="00DF2646">
        <w:rPr>
          <w:rFonts w:ascii="Arial" w:eastAsia="Arial" w:hAnsi="Arial" w:cs="Arial"/>
          <w:i/>
          <w:color w:val="000000"/>
          <w:spacing w:val="-1"/>
          <w:sz w:val="14"/>
          <w:szCs w:val="14"/>
        </w:rPr>
        <w:t xml:space="preserve">, </w:t>
      </w:r>
      <w:r w:rsidR="008D03A4">
        <w:rPr>
          <w:rFonts w:ascii="Arial" w:eastAsia="Arial" w:hAnsi="Arial" w:cs="Arial"/>
          <w:i/>
          <w:color w:val="000000"/>
          <w:spacing w:val="-1"/>
          <w:sz w:val="14"/>
          <w:szCs w:val="14"/>
        </w:rPr>
        <w:t>Dec</w:t>
      </w:r>
      <w:r>
        <w:rPr>
          <w:rFonts w:ascii="Arial" w:eastAsia="Arial" w:hAnsi="Arial" w:cs="Arial"/>
          <w:i/>
          <w:color w:val="000000"/>
          <w:spacing w:val="-1"/>
          <w:sz w:val="14"/>
          <w:szCs w:val="14"/>
        </w:rPr>
        <w:t>ember</w:t>
      </w:r>
      <w:r w:rsidRPr="00DF2646">
        <w:rPr>
          <w:rFonts w:ascii="Arial" w:eastAsia="Arial" w:hAnsi="Arial" w:cs="Arial"/>
          <w:i/>
          <w:color w:val="000000"/>
          <w:spacing w:val="-1"/>
          <w:sz w:val="14"/>
          <w:szCs w:val="14"/>
        </w:rPr>
        <w:t xml:space="preserve"> 2025</w:t>
      </w:r>
      <w:r w:rsidR="00197B5C">
        <w:rPr>
          <w:rFonts w:ascii="Arial" w:eastAsia="Arial" w:hAnsi="Arial" w:cs="Arial"/>
          <w:i/>
          <w:color w:val="000000"/>
          <w:spacing w:val="-1"/>
          <w:sz w:val="14"/>
          <w:szCs w:val="14"/>
        </w:rPr>
        <w:tab/>
      </w:r>
      <w:r w:rsidR="00197B5C">
        <w:rPr>
          <w:rFonts w:ascii="Arial" w:eastAsia="Arial" w:hAnsi="Arial" w:cs="Arial"/>
          <w:i/>
          <w:color w:val="000000"/>
          <w:spacing w:val="-1"/>
          <w:sz w:val="14"/>
          <w:szCs w:val="14"/>
        </w:rPr>
        <w:tab/>
      </w:r>
      <w:r w:rsidR="00197B5C">
        <w:rPr>
          <w:rFonts w:ascii="Arial" w:eastAsia="Arial" w:hAnsi="Arial" w:cs="Arial"/>
          <w:i/>
          <w:color w:val="000000"/>
          <w:spacing w:val="-1"/>
          <w:sz w:val="14"/>
          <w:szCs w:val="14"/>
        </w:rPr>
        <w:tab/>
      </w:r>
      <w:r w:rsidR="00197B5C">
        <w:rPr>
          <w:rFonts w:ascii="Arial" w:eastAsia="Arial" w:hAnsi="Arial" w:cs="Arial"/>
          <w:i/>
          <w:color w:val="000000"/>
          <w:spacing w:val="-1"/>
          <w:sz w:val="14"/>
          <w:szCs w:val="14"/>
        </w:rPr>
        <w:tab/>
      </w:r>
      <w:r w:rsidR="00197B5C">
        <w:rPr>
          <w:rFonts w:ascii="Arial" w:eastAsia="Arial" w:hAnsi="Arial" w:cs="Arial"/>
          <w:i/>
          <w:color w:val="000000"/>
          <w:spacing w:val="-1"/>
          <w:sz w:val="14"/>
          <w:szCs w:val="14"/>
        </w:rPr>
        <w:tab/>
        <w:t xml:space="preserve">         </w:t>
      </w:r>
      <w:r w:rsidR="008D03A4">
        <w:rPr>
          <w:rFonts w:ascii="Arial" w:eastAsia="Arial" w:hAnsi="Arial" w:cs="Arial"/>
          <w:i/>
          <w:color w:val="000000"/>
          <w:spacing w:val="-1"/>
          <w:sz w:val="14"/>
          <w:szCs w:val="14"/>
        </w:rPr>
        <w:t xml:space="preserve">DOI: </w:t>
      </w:r>
      <w:hyperlink r:id="rId8" w:history="1">
        <w:r w:rsidR="00A17E48" w:rsidRPr="00161AD8">
          <w:rPr>
            <w:rStyle w:val="Hyperlink"/>
            <w:rFonts w:ascii="Arial" w:eastAsia="Arial" w:hAnsi="Arial" w:cs="Arial"/>
            <w:i/>
            <w:spacing w:val="-1"/>
            <w:sz w:val="14"/>
            <w:szCs w:val="14"/>
          </w:rPr>
          <w:t>https://doi.org/10</w:t>
        </w:r>
        <w:r w:rsidR="00A17E48" w:rsidRPr="00161AD8">
          <w:rPr>
            <w:rStyle w:val="Hyperlink"/>
            <w:rFonts w:ascii="Arial" w:eastAsia="Arial" w:hAnsi="Arial" w:cs="Arial"/>
            <w:i/>
            <w:spacing w:val="-1"/>
            <w:sz w:val="14"/>
            <w:szCs w:val="14"/>
          </w:rPr>
          <w:t>.</w:t>
        </w:r>
        <w:r w:rsidR="00A17E48" w:rsidRPr="00161AD8">
          <w:rPr>
            <w:rStyle w:val="Hyperlink"/>
            <w:rFonts w:ascii="Arial" w:eastAsia="Arial" w:hAnsi="Arial" w:cs="Arial"/>
            <w:i/>
            <w:spacing w:val="-1"/>
            <w:sz w:val="14"/>
            <w:szCs w:val="14"/>
          </w:rPr>
          <w:t>52</w:t>
        </w:r>
        <w:r w:rsidR="00A17E48" w:rsidRPr="00161AD8">
          <w:rPr>
            <w:rStyle w:val="Hyperlink"/>
            <w:rFonts w:ascii="Arial" w:eastAsia="Arial" w:hAnsi="Arial" w:cs="Arial"/>
            <w:i/>
            <w:spacing w:val="-1"/>
            <w:sz w:val="14"/>
            <w:szCs w:val="14"/>
          </w:rPr>
          <w:t>8</w:t>
        </w:r>
        <w:r w:rsidR="00A17E48" w:rsidRPr="00161AD8">
          <w:rPr>
            <w:rStyle w:val="Hyperlink"/>
            <w:rFonts w:ascii="Arial" w:eastAsia="Arial" w:hAnsi="Arial" w:cs="Arial"/>
            <w:i/>
            <w:spacing w:val="-1"/>
            <w:sz w:val="14"/>
            <w:szCs w:val="14"/>
          </w:rPr>
          <w:t>1/</w:t>
        </w:r>
        <w:r w:rsidR="00A17E48" w:rsidRPr="00161AD8">
          <w:rPr>
            <w:rStyle w:val="Hyperlink"/>
            <w:rFonts w:ascii="Arial" w:eastAsia="Arial" w:hAnsi="Arial" w:cs="Arial"/>
            <w:i/>
            <w:spacing w:val="-1"/>
            <w:sz w:val="14"/>
            <w:szCs w:val="14"/>
          </w:rPr>
          <w:t>z</w:t>
        </w:r>
        <w:r w:rsidR="00A17E48" w:rsidRPr="00161AD8">
          <w:rPr>
            <w:rStyle w:val="Hyperlink"/>
            <w:rFonts w:ascii="Arial" w:eastAsia="Arial" w:hAnsi="Arial" w:cs="Arial"/>
            <w:i/>
            <w:spacing w:val="-1"/>
            <w:sz w:val="14"/>
            <w:szCs w:val="14"/>
          </w:rPr>
          <w:t>enodo.17826131</w:t>
        </w:r>
      </w:hyperlink>
    </w:p>
    <w:p w14:paraId="13FCCCAE" w14:textId="77777777" w:rsidR="00A17E48" w:rsidRDefault="00A17E48" w:rsidP="0066424E">
      <w:pPr>
        <w:spacing w:after="0" w:line="160" w:lineRule="atLeast"/>
        <w:jc w:val="both"/>
        <w:rPr>
          <w:rFonts w:ascii="Arial" w:eastAsia="Arial" w:hAnsi="Arial" w:cs="Arial"/>
          <w:i/>
          <w:color w:val="000000"/>
          <w:spacing w:val="-1"/>
          <w:sz w:val="14"/>
          <w:szCs w:val="14"/>
        </w:rPr>
      </w:pPr>
    </w:p>
    <w:bookmarkEnd w:id="0"/>
    <w:p w14:paraId="5DC5E2A9" w14:textId="77777777" w:rsidR="002307A4" w:rsidRDefault="0066424E" w:rsidP="002307A4">
      <w:pPr>
        <w:spacing w:after="0" w:line="240" w:lineRule="auto"/>
        <w:jc w:val="center"/>
        <w:rPr>
          <w:rFonts w:ascii="Times New Roman" w:eastAsia="Times New Roman" w:hAnsi="Times New Roman" w:cs="Times New Roman"/>
          <w:b/>
          <w:sz w:val="2"/>
          <w:szCs w:val="2"/>
          <w:lang w:eastAsia="en-IN"/>
        </w:rPr>
      </w:pPr>
      <w:r>
        <w:rPr>
          <w:rFonts w:ascii="Times New Roman" w:eastAsia="Times New Roman" w:hAnsi="Times New Roman" w:cs="Times New Roman"/>
          <w:b/>
          <w:sz w:val="2"/>
          <w:szCs w:val="2"/>
          <w:lang w:eastAsia="en-IN"/>
        </w:rPr>
        <w:t>[</w:t>
      </w:r>
    </w:p>
    <w:p w14:paraId="7D1EE952" w14:textId="77777777" w:rsidR="002307A4" w:rsidRDefault="002307A4" w:rsidP="002307A4">
      <w:pPr>
        <w:spacing w:after="0" w:line="240" w:lineRule="auto"/>
        <w:jc w:val="center"/>
        <w:rPr>
          <w:rFonts w:ascii="Times New Roman" w:eastAsia="Times New Roman" w:hAnsi="Times New Roman" w:cs="Times New Roman"/>
          <w:b/>
          <w:sz w:val="2"/>
          <w:szCs w:val="2"/>
          <w:lang w:eastAsia="en-IN"/>
        </w:rPr>
      </w:pPr>
    </w:p>
    <w:p w14:paraId="1B798CE7" w14:textId="77777777" w:rsidR="002307A4" w:rsidRDefault="002307A4" w:rsidP="002307A4">
      <w:pPr>
        <w:spacing w:after="0" w:line="240" w:lineRule="auto"/>
        <w:jc w:val="center"/>
        <w:rPr>
          <w:rFonts w:ascii="Times New Roman" w:eastAsia="Times New Roman" w:hAnsi="Times New Roman" w:cs="Times New Roman"/>
          <w:b/>
          <w:sz w:val="2"/>
          <w:szCs w:val="2"/>
          <w:lang w:eastAsia="en-IN"/>
        </w:rPr>
      </w:pPr>
    </w:p>
    <w:p w14:paraId="43B8B1E4" w14:textId="77777777" w:rsidR="002307A4" w:rsidRDefault="002307A4" w:rsidP="002307A4">
      <w:pPr>
        <w:spacing w:after="0" w:line="240" w:lineRule="auto"/>
        <w:jc w:val="center"/>
        <w:rPr>
          <w:rFonts w:ascii="Times New Roman" w:eastAsia="Times New Roman" w:hAnsi="Times New Roman" w:cs="Times New Roman"/>
          <w:b/>
          <w:sz w:val="2"/>
          <w:szCs w:val="2"/>
          <w:lang w:eastAsia="en-IN"/>
        </w:rPr>
      </w:pPr>
    </w:p>
    <w:p w14:paraId="0A100F7B" w14:textId="77777777" w:rsidR="002307A4" w:rsidRDefault="002307A4" w:rsidP="002307A4">
      <w:pPr>
        <w:spacing w:after="0" w:line="240" w:lineRule="auto"/>
        <w:jc w:val="center"/>
        <w:rPr>
          <w:rFonts w:ascii="Times New Roman" w:eastAsia="Times New Roman" w:hAnsi="Times New Roman" w:cs="Times New Roman"/>
          <w:b/>
          <w:sz w:val="2"/>
          <w:szCs w:val="2"/>
          <w:lang w:eastAsia="en-IN"/>
        </w:rPr>
      </w:pPr>
    </w:p>
    <w:p w14:paraId="063A01C9" w14:textId="77777777" w:rsidR="002307A4" w:rsidRDefault="002307A4" w:rsidP="002307A4">
      <w:pPr>
        <w:spacing w:after="0" w:line="240" w:lineRule="auto"/>
        <w:jc w:val="center"/>
        <w:rPr>
          <w:rFonts w:ascii="Times New Roman" w:eastAsia="Times New Roman" w:hAnsi="Times New Roman" w:cs="Times New Roman"/>
          <w:b/>
          <w:sz w:val="2"/>
          <w:szCs w:val="2"/>
          <w:lang w:eastAsia="en-IN"/>
        </w:rPr>
      </w:pPr>
    </w:p>
    <w:p w14:paraId="4CDC6D62" w14:textId="77777777" w:rsidR="002307A4" w:rsidRDefault="002307A4" w:rsidP="002307A4">
      <w:pPr>
        <w:spacing w:after="0" w:line="240" w:lineRule="auto"/>
        <w:jc w:val="center"/>
        <w:rPr>
          <w:rFonts w:ascii="Times New Roman" w:eastAsia="Times New Roman" w:hAnsi="Times New Roman" w:cs="Times New Roman"/>
          <w:b/>
          <w:sz w:val="2"/>
          <w:szCs w:val="2"/>
          <w:lang w:eastAsia="en-IN"/>
        </w:rPr>
      </w:pPr>
    </w:p>
    <w:p w14:paraId="72586239" w14:textId="77777777" w:rsidR="002307A4" w:rsidRDefault="002307A4" w:rsidP="002307A4">
      <w:pPr>
        <w:spacing w:after="0" w:line="240" w:lineRule="auto"/>
        <w:jc w:val="center"/>
        <w:rPr>
          <w:rFonts w:ascii="Times New Roman" w:eastAsia="Times New Roman" w:hAnsi="Times New Roman" w:cs="Times New Roman"/>
          <w:b/>
          <w:sz w:val="2"/>
          <w:szCs w:val="2"/>
          <w:lang w:eastAsia="en-IN"/>
        </w:rPr>
      </w:pPr>
    </w:p>
    <w:p w14:paraId="45C0041F" w14:textId="77777777" w:rsidR="002307A4" w:rsidRDefault="002307A4" w:rsidP="002307A4">
      <w:pPr>
        <w:spacing w:after="0" w:line="240" w:lineRule="auto"/>
        <w:jc w:val="center"/>
        <w:rPr>
          <w:rFonts w:ascii="Times New Roman" w:eastAsia="Times New Roman" w:hAnsi="Times New Roman" w:cs="Times New Roman"/>
          <w:b/>
          <w:sz w:val="2"/>
          <w:szCs w:val="2"/>
          <w:lang w:eastAsia="en-IN"/>
        </w:rPr>
      </w:pPr>
    </w:p>
    <w:p w14:paraId="0CC914F0" w14:textId="77777777" w:rsidR="002307A4" w:rsidRDefault="002307A4" w:rsidP="002307A4">
      <w:pPr>
        <w:spacing w:after="0" w:line="240" w:lineRule="auto"/>
        <w:jc w:val="center"/>
        <w:rPr>
          <w:rFonts w:ascii="Times New Roman" w:eastAsia="Times New Roman" w:hAnsi="Times New Roman" w:cs="Times New Roman"/>
          <w:b/>
          <w:sz w:val="2"/>
          <w:szCs w:val="2"/>
          <w:lang w:eastAsia="en-IN"/>
        </w:rPr>
      </w:pPr>
    </w:p>
    <w:p w14:paraId="01728A38" w14:textId="726AF86B" w:rsidR="00B13AF2" w:rsidRDefault="00B13AF2" w:rsidP="002307A4">
      <w:pPr>
        <w:spacing w:after="0" w:line="240" w:lineRule="auto"/>
        <w:jc w:val="center"/>
        <w:rPr>
          <w:rFonts w:ascii="Times New Roman" w:eastAsia="Times New Roman" w:hAnsi="Times New Roman" w:cs="Times New Roman"/>
          <w:b/>
          <w:sz w:val="32"/>
          <w:szCs w:val="32"/>
          <w:lang w:eastAsia="en-IN"/>
        </w:rPr>
      </w:pPr>
      <w:r w:rsidRPr="0066424E">
        <w:rPr>
          <w:rFonts w:ascii="Times New Roman" w:eastAsia="Times New Roman" w:hAnsi="Times New Roman" w:cs="Times New Roman"/>
          <w:b/>
          <w:sz w:val="32"/>
          <w:szCs w:val="32"/>
          <w:lang w:eastAsia="en-IN"/>
        </w:rPr>
        <w:t xml:space="preserve">Driving </w:t>
      </w:r>
      <w:r w:rsidR="0066424E" w:rsidRPr="0066424E">
        <w:rPr>
          <w:rFonts w:ascii="Times New Roman" w:eastAsia="Times New Roman" w:hAnsi="Times New Roman" w:cs="Times New Roman"/>
          <w:b/>
          <w:sz w:val="32"/>
          <w:szCs w:val="32"/>
          <w:lang w:eastAsia="en-IN"/>
        </w:rPr>
        <w:t xml:space="preserve">Sponsorship Conversions </w:t>
      </w:r>
      <w:r w:rsidRPr="0066424E">
        <w:rPr>
          <w:rFonts w:ascii="Times New Roman" w:eastAsia="Times New Roman" w:hAnsi="Times New Roman" w:cs="Times New Roman"/>
          <w:b/>
          <w:sz w:val="32"/>
          <w:szCs w:val="32"/>
          <w:lang w:eastAsia="en-IN"/>
        </w:rPr>
        <w:t xml:space="preserve">at Money Expo India </w:t>
      </w:r>
      <w:r w:rsidR="0066424E" w:rsidRPr="0066424E">
        <w:rPr>
          <w:rFonts w:ascii="Times New Roman" w:eastAsia="Times New Roman" w:hAnsi="Times New Roman" w:cs="Times New Roman"/>
          <w:b/>
          <w:sz w:val="32"/>
          <w:szCs w:val="32"/>
          <w:lang w:eastAsia="en-IN"/>
        </w:rPr>
        <w:t xml:space="preserve">Strategic Outreach </w:t>
      </w:r>
      <w:r w:rsidRPr="0066424E">
        <w:rPr>
          <w:rFonts w:ascii="Times New Roman" w:eastAsia="Times New Roman" w:hAnsi="Times New Roman" w:cs="Times New Roman"/>
          <w:b/>
          <w:sz w:val="32"/>
          <w:szCs w:val="32"/>
          <w:lang w:eastAsia="en-IN"/>
        </w:rPr>
        <w:t xml:space="preserve">and CRM </w:t>
      </w:r>
      <w:r w:rsidR="0066424E" w:rsidRPr="0066424E">
        <w:rPr>
          <w:rFonts w:ascii="Times New Roman" w:eastAsia="Times New Roman" w:hAnsi="Times New Roman" w:cs="Times New Roman"/>
          <w:b/>
          <w:sz w:val="32"/>
          <w:szCs w:val="32"/>
          <w:lang w:eastAsia="en-IN"/>
        </w:rPr>
        <w:t xml:space="preserve">Discipline </w:t>
      </w:r>
      <w:r w:rsidRPr="0066424E">
        <w:rPr>
          <w:rFonts w:ascii="Times New Roman" w:eastAsia="Times New Roman" w:hAnsi="Times New Roman" w:cs="Times New Roman"/>
          <w:b/>
          <w:sz w:val="32"/>
          <w:szCs w:val="32"/>
          <w:lang w:eastAsia="en-IN"/>
        </w:rPr>
        <w:t xml:space="preserve">at </w:t>
      </w:r>
      <w:proofErr w:type="spellStart"/>
      <w:r w:rsidRPr="0066424E">
        <w:rPr>
          <w:rFonts w:ascii="Times New Roman" w:eastAsia="Times New Roman" w:hAnsi="Times New Roman" w:cs="Times New Roman"/>
          <w:b/>
          <w:sz w:val="32"/>
          <w:szCs w:val="32"/>
          <w:lang w:eastAsia="en-IN"/>
        </w:rPr>
        <w:t>Trasol</w:t>
      </w:r>
      <w:proofErr w:type="spellEnd"/>
    </w:p>
    <w:p w14:paraId="016C03A4" w14:textId="77777777" w:rsidR="00197B5C" w:rsidRDefault="00197B5C" w:rsidP="002307A4">
      <w:pPr>
        <w:spacing w:after="0" w:line="240" w:lineRule="auto"/>
        <w:jc w:val="center"/>
        <w:rPr>
          <w:rFonts w:ascii="Times New Roman" w:eastAsia="Times New Roman" w:hAnsi="Times New Roman" w:cs="Times New Roman"/>
          <w:b/>
          <w:sz w:val="10"/>
          <w:szCs w:val="10"/>
          <w:lang w:eastAsia="en-IN"/>
        </w:rPr>
      </w:pPr>
    </w:p>
    <w:p w14:paraId="7B95B890" w14:textId="77777777" w:rsidR="00197B5C" w:rsidRPr="00197B5C" w:rsidRDefault="00197B5C" w:rsidP="002307A4">
      <w:pPr>
        <w:spacing w:after="0" w:line="240" w:lineRule="auto"/>
        <w:jc w:val="center"/>
        <w:rPr>
          <w:rFonts w:ascii="Times New Roman" w:eastAsia="Times New Roman" w:hAnsi="Times New Roman" w:cs="Times New Roman"/>
          <w:b/>
          <w:sz w:val="10"/>
          <w:szCs w:val="10"/>
          <w:lang w:eastAsia="en-IN"/>
        </w:rPr>
      </w:pPr>
    </w:p>
    <w:p w14:paraId="1A82013E" w14:textId="77777777" w:rsidR="00197B5C" w:rsidRPr="0066424E" w:rsidRDefault="00197B5C" w:rsidP="002307A4">
      <w:pPr>
        <w:spacing w:after="0" w:line="240" w:lineRule="auto"/>
        <w:jc w:val="center"/>
        <w:rPr>
          <w:rFonts w:ascii="Times New Roman" w:eastAsia="Times New Roman" w:hAnsi="Times New Roman" w:cs="Times New Roman"/>
          <w:b/>
          <w:sz w:val="2"/>
          <w:szCs w:val="2"/>
          <w:lang w:eastAsia="en-I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4050"/>
      </w:tblGrid>
      <w:tr w:rsidR="0066424E" w:rsidRPr="00197B5C" w14:paraId="49CC6029" w14:textId="77777777" w:rsidTr="0012430A">
        <w:trPr>
          <w:trHeight w:val="667"/>
          <w:jc w:val="center"/>
        </w:trPr>
        <w:tc>
          <w:tcPr>
            <w:tcW w:w="3775" w:type="dxa"/>
          </w:tcPr>
          <w:p w14:paraId="71B1EF4F" w14:textId="77777777" w:rsidR="0066424E" w:rsidRPr="00197B5C" w:rsidRDefault="0066424E" w:rsidP="0066424E">
            <w:pPr>
              <w:jc w:val="center"/>
              <w:rPr>
                <w:rFonts w:ascii="Calibri" w:eastAsia="Times New Roman" w:hAnsi="Calibri" w:cs="Calibri"/>
                <w:b/>
                <w:i/>
                <w:iCs/>
                <w:color w:val="000000"/>
                <w:sz w:val="16"/>
                <w:szCs w:val="16"/>
                <w:lang w:eastAsia="en-IN"/>
              </w:rPr>
            </w:pPr>
            <w:r w:rsidRPr="00197B5C">
              <w:rPr>
                <w:rFonts w:ascii="Calibri" w:eastAsia="Times New Roman" w:hAnsi="Calibri" w:cs="Calibri"/>
                <w:b/>
                <w:i/>
                <w:iCs/>
                <w:color w:val="000000"/>
                <w:sz w:val="16"/>
                <w:szCs w:val="16"/>
                <w:lang w:eastAsia="en-IN"/>
              </w:rPr>
              <w:t>V A Monica</w:t>
            </w:r>
          </w:p>
          <w:p w14:paraId="49E3E903" w14:textId="77777777" w:rsidR="0066424E" w:rsidRPr="00197B5C" w:rsidRDefault="0066424E" w:rsidP="0066424E">
            <w:pPr>
              <w:jc w:val="center"/>
              <w:rPr>
                <w:rFonts w:ascii="Calibri" w:eastAsia="Times New Roman" w:hAnsi="Calibri" w:cs="Calibri"/>
                <w:color w:val="000000"/>
                <w:sz w:val="16"/>
                <w:szCs w:val="16"/>
                <w:lang w:eastAsia="en-IN"/>
              </w:rPr>
            </w:pPr>
            <w:r w:rsidRPr="00197B5C">
              <w:rPr>
                <w:rFonts w:ascii="Calibri" w:eastAsia="Times New Roman" w:hAnsi="Calibri" w:cs="Calibri"/>
                <w:color w:val="000000"/>
                <w:sz w:val="16"/>
                <w:szCs w:val="16"/>
                <w:lang w:eastAsia="en-IN"/>
              </w:rPr>
              <w:t>MBA Student, Faculty of Management Studies,</w:t>
            </w:r>
          </w:p>
          <w:p w14:paraId="52369AEA" w14:textId="46947F49" w:rsidR="0066424E" w:rsidRPr="00197B5C" w:rsidRDefault="0066424E" w:rsidP="0066424E">
            <w:pPr>
              <w:jc w:val="center"/>
              <w:rPr>
                <w:rFonts w:ascii="Calibri" w:eastAsia="Times New Roman" w:hAnsi="Calibri" w:cs="Calibri"/>
                <w:color w:val="000000"/>
                <w:sz w:val="16"/>
                <w:szCs w:val="16"/>
                <w:lang w:eastAsia="en-IN"/>
              </w:rPr>
            </w:pPr>
            <w:r w:rsidRPr="00197B5C">
              <w:rPr>
                <w:rFonts w:ascii="Calibri" w:eastAsia="Times New Roman" w:hAnsi="Calibri" w:cs="Calibri"/>
                <w:color w:val="000000"/>
                <w:sz w:val="16"/>
                <w:szCs w:val="16"/>
                <w:lang w:eastAsia="en-IN"/>
              </w:rPr>
              <w:t xml:space="preserve"> CMS Business School</w:t>
            </w:r>
          </w:p>
          <w:p w14:paraId="720D3652" w14:textId="04DC5A34" w:rsidR="0066424E" w:rsidRPr="00197B5C" w:rsidRDefault="0066424E" w:rsidP="0066424E">
            <w:pPr>
              <w:jc w:val="center"/>
              <w:rPr>
                <w:rFonts w:ascii="Calibri" w:eastAsia="Times New Roman" w:hAnsi="Calibri" w:cs="Calibri"/>
                <w:color w:val="000000"/>
                <w:sz w:val="16"/>
                <w:szCs w:val="16"/>
                <w:lang w:eastAsia="en-IN"/>
              </w:rPr>
            </w:pPr>
            <w:r w:rsidRPr="00197B5C">
              <w:rPr>
                <w:rFonts w:ascii="Calibri" w:eastAsia="Times New Roman" w:hAnsi="Calibri" w:cs="Calibri"/>
                <w:color w:val="000000"/>
                <w:sz w:val="16"/>
                <w:szCs w:val="16"/>
                <w:lang w:eastAsia="en-IN"/>
              </w:rPr>
              <w:t>JAIN (Deemed-to-be University), Bangalore.</w:t>
            </w:r>
          </w:p>
        </w:tc>
        <w:tc>
          <w:tcPr>
            <w:tcW w:w="4050" w:type="dxa"/>
          </w:tcPr>
          <w:p w14:paraId="377B75F1" w14:textId="77777777" w:rsidR="0066424E" w:rsidRPr="00197B5C" w:rsidRDefault="0066424E" w:rsidP="0066424E">
            <w:pPr>
              <w:jc w:val="center"/>
              <w:rPr>
                <w:rFonts w:ascii="Calibri" w:eastAsia="Times New Roman" w:hAnsi="Calibri" w:cs="Calibri"/>
                <w:b/>
                <w:bCs/>
                <w:i/>
                <w:iCs/>
                <w:color w:val="000000"/>
                <w:sz w:val="16"/>
                <w:szCs w:val="16"/>
                <w:lang w:eastAsia="en-IN"/>
              </w:rPr>
            </w:pPr>
            <w:r w:rsidRPr="00197B5C">
              <w:rPr>
                <w:rFonts w:ascii="Calibri" w:eastAsia="Times New Roman" w:hAnsi="Calibri" w:cs="Calibri"/>
                <w:b/>
                <w:bCs/>
                <w:i/>
                <w:iCs/>
                <w:color w:val="000000"/>
                <w:sz w:val="16"/>
                <w:szCs w:val="16"/>
                <w:lang w:eastAsia="en-IN"/>
              </w:rPr>
              <w:t>Dr. M. Govindaraj</w:t>
            </w:r>
          </w:p>
          <w:p w14:paraId="07B6D874" w14:textId="77777777" w:rsidR="0066424E" w:rsidRPr="00197B5C" w:rsidRDefault="0066424E" w:rsidP="0066424E">
            <w:pPr>
              <w:jc w:val="center"/>
              <w:rPr>
                <w:rFonts w:ascii="Calibri" w:eastAsia="Times New Roman" w:hAnsi="Calibri" w:cs="Calibri"/>
                <w:color w:val="000000"/>
                <w:sz w:val="16"/>
                <w:szCs w:val="16"/>
                <w:lang w:eastAsia="en-IN"/>
              </w:rPr>
            </w:pPr>
            <w:r w:rsidRPr="00197B5C">
              <w:rPr>
                <w:rFonts w:ascii="Calibri" w:eastAsia="Times New Roman" w:hAnsi="Calibri" w:cs="Calibri"/>
                <w:color w:val="000000"/>
                <w:sz w:val="16"/>
                <w:szCs w:val="16"/>
                <w:lang w:eastAsia="en-IN"/>
              </w:rPr>
              <w:t xml:space="preserve">Associate Professor, Faculty of Management Studies, </w:t>
            </w:r>
          </w:p>
          <w:p w14:paraId="166873E6" w14:textId="476EFB98" w:rsidR="0066424E" w:rsidRPr="00197B5C" w:rsidRDefault="0066424E" w:rsidP="0066424E">
            <w:pPr>
              <w:jc w:val="center"/>
              <w:rPr>
                <w:rFonts w:ascii="Calibri" w:eastAsia="Times New Roman" w:hAnsi="Calibri" w:cs="Calibri"/>
                <w:color w:val="000000"/>
                <w:sz w:val="16"/>
                <w:szCs w:val="16"/>
                <w:lang w:eastAsia="en-IN"/>
              </w:rPr>
            </w:pPr>
            <w:r w:rsidRPr="00197B5C">
              <w:rPr>
                <w:rFonts w:ascii="Calibri" w:eastAsia="Times New Roman" w:hAnsi="Calibri" w:cs="Calibri"/>
                <w:color w:val="000000"/>
                <w:sz w:val="16"/>
                <w:szCs w:val="16"/>
                <w:lang w:eastAsia="en-IN"/>
              </w:rPr>
              <w:t>CMS Business School</w:t>
            </w:r>
          </w:p>
          <w:p w14:paraId="7FE9DCE6" w14:textId="08CEE964" w:rsidR="0066424E" w:rsidRPr="00197B5C" w:rsidRDefault="0066424E" w:rsidP="0066424E">
            <w:pPr>
              <w:jc w:val="center"/>
              <w:rPr>
                <w:rFonts w:ascii="Calibri" w:eastAsia="Times New Roman" w:hAnsi="Calibri" w:cs="Calibri"/>
                <w:b/>
                <w:sz w:val="16"/>
                <w:szCs w:val="16"/>
                <w:lang w:eastAsia="en-IN"/>
              </w:rPr>
            </w:pPr>
            <w:r w:rsidRPr="00197B5C">
              <w:rPr>
                <w:rFonts w:ascii="Calibri" w:eastAsia="Times New Roman" w:hAnsi="Calibri" w:cs="Calibri"/>
                <w:color w:val="000000"/>
                <w:sz w:val="16"/>
                <w:szCs w:val="16"/>
                <w:lang w:eastAsia="en-IN"/>
              </w:rPr>
              <w:t xml:space="preserve">JAIN (Deemed-to-be University), Bangalore. </w:t>
            </w:r>
          </w:p>
        </w:tc>
      </w:tr>
    </w:tbl>
    <w:p w14:paraId="0F508BC4" w14:textId="77777777" w:rsidR="00FD2868" w:rsidRPr="009D677D" w:rsidRDefault="00FD2868" w:rsidP="00FD2868">
      <w:pPr>
        <w:spacing w:after="0" w:line="240" w:lineRule="auto"/>
        <w:jc w:val="center"/>
        <w:rPr>
          <w:rFonts w:ascii="Times New Roman" w:eastAsia="Times New Roman" w:hAnsi="Times New Roman" w:cs="Times New Roman"/>
          <w:color w:val="000000"/>
          <w:sz w:val="24"/>
          <w:szCs w:val="24"/>
          <w:lang w:eastAsia="en-IN"/>
        </w:rPr>
      </w:pPr>
    </w:p>
    <w:p w14:paraId="378043DA" w14:textId="77777777" w:rsidR="00197B5C" w:rsidRPr="00197B5C" w:rsidRDefault="00197B5C" w:rsidP="00197B5C">
      <w:pPr>
        <w:spacing w:after="120" w:line="240" w:lineRule="auto"/>
        <w:ind w:left="720"/>
        <w:jc w:val="center"/>
        <w:outlineLvl w:val="1"/>
        <w:rPr>
          <w:rFonts w:ascii="Arial" w:eastAsia="Times New Roman" w:hAnsi="Arial" w:cs="Arial"/>
          <w:b/>
          <w:bCs/>
          <w:i/>
          <w:iCs/>
          <w:sz w:val="2"/>
          <w:szCs w:val="2"/>
          <w:lang w:eastAsia="en-IN"/>
        </w:rPr>
      </w:pPr>
    </w:p>
    <w:p w14:paraId="02A7724F" w14:textId="7E8B0D0A" w:rsidR="00B13AF2" w:rsidRPr="0066424E" w:rsidRDefault="00B13AF2" w:rsidP="00197B5C">
      <w:pPr>
        <w:spacing w:after="120" w:line="240" w:lineRule="auto"/>
        <w:ind w:left="720"/>
        <w:jc w:val="center"/>
        <w:outlineLvl w:val="1"/>
        <w:rPr>
          <w:rFonts w:ascii="Arial" w:eastAsia="Times New Roman" w:hAnsi="Arial" w:cs="Arial"/>
          <w:b/>
          <w:bCs/>
          <w:i/>
          <w:iCs/>
          <w:sz w:val="18"/>
          <w:szCs w:val="18"/>
          <w:lang w:eastAsia="en-IN"/>
        </w:rPr>
      </w:pPr>
      <w:r w:rsidRPr="0066424E">
        <w:rPr>
          <w:rFonts w:ascii="Arial" w:eastAsia="Times New Roman" w:hAnsi="Arial" w:cs="Arial"/>
          <w:b/>
          <w:bCs/>
          <w:i/>
          <w:iCs/>
          <w:sz w:val="18"/>
          <w:szCs w:val="18"/>
          <w:lang w:eastAsia="en-IN"/>
        </w:rPr>
        <w:t>Abstract</w:t>
      </w:r>
    </w:p>
    <w:p w14:paraId="6CD8EFC0" w14:textId="77777777" w:rsidR="00B13AF2" w:rsidRDefault="00B13AF2" w:rsidP="00197B5C">
      <w:pPr>
        <w:spacing w:after="120" w:line="240" w:lineRule="auto"/>
        <w:ind w:left="720"/>
        <w:jc w:val="both"/>
        <w:rPr>
          <w:rFonts w:ascii="Arial" w:eastAsia="Times New Roman" w:hAnsi="Arial" w:cs="Arial"/>
          <w:sz w:val="18"/>
          <w:szCs w:val="18"/>
          <w:lang w:eastAsia="en-IN"/>
        </w:rPr>
      </w:pPr>
      <w:proofErr w:type="spellStart"/>
      <w:r w:rsidRPr="0066424E">
        <w:rPr>
          <w:rFonts w:ascii="Arial" w:eastAsia="Times New Roman" w:hAnsi="Arial" w:cs="Arial"/>
          <w:sz w:val="18"/>
          <w:szCs w:val="18"/>
          <w:lang w:eastAsia="en-IN"/>
        </w:rPr>
        <w:t>Trasol</w:t>
      </w:r>
      <w:proofErr w:type="spellEnd"/>
      <w:r w:rsidRPr="0066424E">
        <w:rPr>
          <w:rFonts w:ascii="Arial" w:eastAsia="Times New Roman" w:hAnsi="Arial" w:cs="Arial"/>
          <w:sz w:val="18"/>
          <w:szCs w:val="18"/>
          <w:lang w:eastAsia="en-IN"/>
        </w:rPr>
        <w:t xml:space="preserve"> Technologies and Events operates in India’s fast-growing B2B financial expos segment, where sponsors demand clear return on investment evidence, granular attendee profiles, and responsive, personalized outreach. During the student internship described here, the sponsorship sales funnel showed long decision cycles and sharp drop-offs despite strong top-of-funnel interest. Documented frictions included budget constraints, approval delays, and generic messaging fatigue; conversion improved when pitch decks were customized by sector and when CRM-guided follow-ups were used. Money Expo India scaled from 84 exhibitors in 2023 to 100 plus in 2025 and promoted 15,000 plus paid delegates with tiered visitor passes, but growth also raised expectations for real-time ROI tracking and segmented visitor engagement. Adopting HubSpot to segment leads and orchestrate outreach, moving to multi-channel follow-ups across phone email WhatsApp and LinkedIn, and using urgency messaging and testimonials strengthened the pipeline. This case asks students to turn observations into an operating system for sponsorship sales tailored pitch packs, persona-aware proof points, CRM hygiene and cadence, and pre-committed post-event demo windows. Success is measured by demo-to-PO conversion, time-to-close, sponsor retention, and mix of hot warm and cold leads converting each week. The setting offers a realistic lens on B2B event selling under ROI scrutiny. </w:t>
      </w:r>
    </w:p>
    <w:p w14:paraId="59729BA7" w14:textId="77777777" w:rsidR="00B13AF2" w:rsidRPr="0066424E" w:rsidRDefault="00B13AF2" w:rsidP="00197B5C">
      <w:pPr>
        <w:spacing w:after="120" w:line="240" w:lineRule="auto"/>
        <w:ind w:left="720"/>
        <w:jc w:val="both"/>
        <w:rPr>
          <w:rFonts w:ascii="Arial" w:eastAsia="Times New Roman" w:hAnsi="Arial" w:cs="Arial"/>
          <w:sz w:val="18"/>
          <w:szCs w:val="18"/>
          <w:lang w:eastAsia="en-IN"/>
        </w:rPr>
      </w:pPr>
      <w:r w:rsidRPr="0066424E">
        <w:rPr>
          <w:rFonts w:ascii="Arial" w:eastAsia="Times New Roman" w:hAnsi="Arial" w:cs="Arial"/>
          <w:b/>
          <w:bCs/>
          <w:sz w:val="18"/>
          <w:szCs w:val="18"/>
          <w:lang w:eastAsia="en-IN"/>
        </w:rPr>
        <w:t xml:space="preserve">Keywords: </w:t>
      </w:r>
      <w:r w:rsidRPr="0066424E">
        <w:rPr>
          <w:rFonts w:ascii="Arial" w:eastAsia="Times New Roman" w:hAnsi="Arial" w:cs="Arial"/>
          <w:sz w:val="18"/>
          <w:szCs w:val="18"/>
          <w:lang w:eastAsia="en-IN"/>
        </w:rPr>
        <w:t>B2B financial expos • Sponsorship sales • CRM discipline • Persona messaging • ROI-driven events</w:t>
      </w:r>
    </w:p>
    <w:p w14:paraId="11D13DBB" w14:textId="77777777" w:rsidR="0066424E" w:rsidRDefault="0066424E" w:rsidP="0066424E">
      <w:pPr>
        <w:spacing w:after="0" w:line="240" w:lineRule="auto"/>
        <w:jc w:val="both"/>
        <w:outlineLvl w:val="1"/>
        <w:rPr>
          <w:rFonts w:ascii="Times New Roman" w:eastAsia="Times New Roman" w:hAnsi="Times New Roman" w:cs="Times New Roman"/>
          <w:b/>
          <w:bCs/>
          <w:sz w:val="24"/>
          <w:szCs w:val="24"/>
          <w:lang w:eastAsia="en-IN"/>
        </w:rPr>
      </w:pPr>
    </w:p>
    <w:p w14:paraId="312E13E8" w14:textId="77777777" w:rsidR="0066424E" w:rsidRPr="0066424E" w:rsidRDefault="0066424E" w:rsidP="0066424E">
      <w:pPr>
        <w:spacing w:after="0" w:line="240" w:lineRule="auto"/>
        <w:jc w:val="both"/>
        <w:outlineLvl w:val="1"/>
        <w:rPr>
          <w:rFonts w:ascii="Times New Roman" w:eastAsia="Times New Roman" w:hAnsi="Times New Roman" w:cs="Times New Roman"/>
          <w:b/>
          <w:bCs/>
          <w:sz w:val="4"/>
          <w:szCs w:val="4"/>
          <w:lang w:eastAsia="en-IN"/>
        </w:rPr>
        <w:sectPr w:rsidR="0066424E" w:rsidRPr="0066424E" w:rsidSect="00197B5C">
          <w:headerReference w:type="even" r:id="rId9"/>
          <w:headerReference w:type="default" r:id="rId10"/>
          <w:pgSz w:w="11906" w:h="16838" w:code="9"/>
          <w:pgMar w:top="1440" w:right="1440" w:bottom="1440" w:left="1440" w:header="1008" w:footer="720" w:gutter="0"/>
          <w:pgNumType w:start="57"/>
          <w:cols w:space="708"/>
          <w:docGrid w:linePitch="360"/>
        </w:sectPr>
      </w:pPr>
    </w:p>
    <w:p w14:paraId="132024D1" w14:textId="7C79DFEE" w:rsidR="00B13AF2" w:rsidRPr="0066424E" w:rsidRDefault="00B13AF2" w:rsidP="0066424E">
      <w:pPr>
        <w:spacing w:after="120" w:line="276" w:lineRule="auto"/>
        <w:jc w:val="center"/>
        <w:outlineLvl w:val="1"/>
        <w:rPr>
          <w:rFonts w:ascii="Arial" w:eastAsia="Times New Roman" w:hAnsi="Arial" w:cs="Arial"/>
          <w:b/>
          <w:bCs/>
          <w:caps/>
          <w:lang w:eastAsia="en-IN"/>
        </w:rPr>
      </w:pPr>
      <w:r w:rsidRPr="0066424E">
        <w:rPr>
          <w:rFonts w:ascii="Arial" w:eastAsia="Times New Roman" w:hAnsi="Arial" w:cs="Arial"/>
          <w:b/>
          <w:bCs/>
          <w:caps/>
          <w:lang w:eastAsia="en-IN"/>
        </w:rPr>
        <w:t>Case</w:t>
      </w:r>
      <w:r w:rsidR="0066424E" w:rsidRPr="0066424E">
        <w:rPr>
          <w:rFonts w:ascii="Arial" w:eastAsia="Times New Roman" w:hAnsi="Arial" w:cs="Arial"/>
          <w:b/>
          <w:bCs/>
          <w:caps/>
          <w:lang w:eastAsia="en-IN"/>
        </w:rPr>
        <w:t xml:space="preserve"> </w:t>
      </w:r>
      <w:r w:rsidRPr="0066424E">
        <w:rPr>
          <w:rFonts w:ascii="Arial" w:eastAsia="Times New Roman" w:hAnsi="Arial" w:cs="Arial"/>
          <w:b/>
          <w:bCs/>
          <w:caps/>
          <w:lang w:eastAsia="en-IN"/>
        </w:rPr>
        <w:t>About the industry</w:t>
      </w:r>
    </w:p>
    <w:p w14:paraId="53311C19" w14:textId="77777777" w:rsidR="00B13AF2" w:rsidRPr="0066424E" w:rsidRDefault="00B13AF2" w:rsidP="0066424E">
      <w:pPr>
        <w:spacing w:after="120" w:line="276" w:lineRule="auto"/>
        <w:ind w:firstLine="720"/>
        <w:jc w:val="both"/>
        <w:rPr>
          <w:rFonts w:ascii="Arial" w:eastAsia="Times New Roman" w:hAnsi="Arial" w:cs="Arial"/>
          <w:lang w:eastAsia="en-IN"/>
        </w:rPr>
      </w:pPr>
      <w:r w:rsidRPr="0066424E">
        <w:rPr>
          <w:rFonts w:ascii="Arial" w:eastAsia="Times New Roman" w:hAnsi="Arial" w:cs="Arial"/>
          <w:lang w:eastAsia="en-IN"/>
        </w:rPr>
        <w:t xml:space="preserve">India’s MICE landscape has rebounded post-pandemic, with premium venues like Jio World Convention Centre enabling international-style expos. Financial services expos aggregate wealth management fintech trading and payments brands for learning networking and lead generation. Sponsors now expect professional visitor management, segmented passes, and measurable value delivery. Outreach thus relies on consultative selling rather than mass calls alone, with CRMs and customized narratives increasingly non-negotiable for credibility. </w:t>
      </w:r>
    </w:p>
    <w:p w14:paraId="1E0FD170" w14:textId="77777777" w:rsidR="00B13AF2" w:rsidRPr="0066424E" w:rsidRDefault="00B13AF2" w:rsidP="0066424E">
      <w:pPr>
        <w:spacing w:after="120" w:line="276" w:lineRule="auto"/>
        <w:jc w:val="center"/>
        <w:outlineLvl w:val="2"/>
        <w:rPr>
          <w:rFonts w:ascii="Arial" w:eastAsia="Times New Roman" w:hAnsi="Arial" w:cs="Arial"/>
          <w:b/>
          <w:bCs/>
          <w:caps/>
          <w:lang w:eastAsia="en-IN"/>
        </w:rPr>
      </w:pPr>
      <w:r w:rsidRPr="0066424E">
        <w:rPr>
          <w:rFonts w:ascii="Arial" w:eastAsia="Times New Roman" w:hAnsi="Arial" w:cs="Arial"/>
          <w:b/>
          <w:bCs/>
          <w:caps/>
          <w:lang w:eastAsia="en-IN"/>
        </w:rPr>
        <w:t>Problems in the industry</w:t>
      </w:r>
    </w:p>
    <w:p w14:paraId="5FE26DCF" w14:textId="77777777" w:rsidR="00B13AF2" w:rsidRPr="0066424E" w:rsidRDefault="00B13AF2" w:rsidP="0066424E">
      <w:pPr>
        <w:spacing w:after="120" w:line="276" w:lineRule="auto"/>
        <w:ind w:firstLine="720"/>
        <w:jc w:val="both"/>
        <w:rPr>
          <w:rFonts w:ascii="Arial" w:eastAsia="Times New Roman" w:hAnsi="Arial" w:cs="Arial"/>
          <w:lang w:eastAsia="en-IN"/>
        </w:rPr>
      </w:pPr>
      <w:r w:rsidRPr="0066424E">
        <w:rPr>
          <w:rFonts w:ascii="Arial" w:eastAsia="Times New Roman" w:hAnsi="Arial" w:cs="Arial"/>
          <w:lang w:eastAsia="en-IN"/>
        </w:rPr>
        <w:t xml:space="preserve">Budget caution and regulatory frictions such as GST on sponsorships lengthen cycles and elevate documentation needs. Decision makers want evidence on </w:t>
      </w:r>
      <w:r w:rsidRPr="0066424E">
        <w:rPr>
          <w:rFonts w:ascii="Arial" w:eastAsia="Times New Roman" w:hAnsi="Arial" w:cs="Arial"/>
          <w:lang w:eastAsia="en-IN"/>
        </w:rPr>
        <w:t xml:space="preserve">expected footfall attendee quality and brand benefits, and they discount generic pitches. Traditional cold email and call blasts struggle against message overload. Buyers also expect hybrid options, personalization, and data-rich reporting; organizers without robust tools face lead leakage and late-stage drop-offs. </w:t>
      </w:r>
    </w:p>
    <w:p w14:paraId="09DB85FF" w14:textId="77777777" w:rsidR="00B13AF2" w:rsidRPr="0093086F" w:rsidRDefault="00B13AF2" w:rsidP="0093086F">
      <w:pPr>
        <w:spacing w:after="120" w:line="276" w:lineRule="auto"/>
        <w:jc w:val="center"/>
        <w:outlineLvl w:val="2"/>
        <w:rPr>
          <w:rFonts w:ascii="Arial" w:eastAsia="Times New Roman" w:hAnsi="Arial" w:cs="Arial"/>
          <w:b/>
          <w:bCs/>
          <w:caps/>
          <w:lang w:eastAsia="en-IN"/>
        </w:rPr>
      </w:pPr>
      <w:r w:rsidRPr="0093086F">
        <w:rPr>
          <w:rFonts w:ascii="Arial" w:eastAsia="Times New Roman" w:hAnsi="Arial" w:cs="Arial"/>
          <w:b/>
          <w:bCs/>
          <w:caps/>
          <w:lang w:eastAsia="en-IN"/>
        </w:rPr>
        <w:t>About the company</w:t>
      </w:r>
    </w:p>
    <w:p w14:paraId="45B038DD" w14:textId="77777777" w:rsidR="00B13AF2" w:rsidRPr="0066424E" w:rsidRDefault="00B13AF2" w:rsidP="0066424E">
      <w:pPr>
        <w:spacing w:after="120" w:line="276" w:lineRule="auto"/>
        <w:ind w:firstLine="720"/>
        <w:jc w:val="both"/>
        <w:rPr>
          <w:rFonts w:ascii="Arial" w:eastAsia="Times New Roman" w:hAnsi="Arial" w:cs="Arial"/>
          <w:lang w:eastAsia="en-IN"/>
        </w:rPr>
      </w:pPr>
      <w:proofErr w:type="spellStart"/>
      <w:r w:rsidRPr="0066424E">
        <w:rPr>
          <w:rFonts w:ascii="Arial" w:eastAsia="Times New Roman" w:hAnsi="Arial" w:cs="Arial"/>
          <w:lang w:eastAsia="en-IN"/>
        </w:rPr>
        <w:t>Trasol</w:t>
      </w:r>
      <w:proofErr w:type="spellEnd"/>
      <w:r w:rsidRPr="0066424E">
        <w:rPr>
          <w:rFonts w:ascii="Arial" w:eastAsia="Times New Roman" w:hAnsi="Arial" w:cs="Arial"/>
          <w:lang w:eastAsia="en-IN"/>
        </w:rPr>
        <w:t xml:space="preserve"> blends event execution with digital outreach and organizes Money Expo India, a flagship finance event. The journey shows scale-up from 84 exhibitors in 2023 to 100 plus in 2025 and 15,000 plus paid delegates with VIP Business and General passes. The firm introduced CRM practices and refined pitch strategies to match rising sponsor expectations. </w:t>
      </w:r>
    </w:p>
    <w:p w14:paraId="14825D17" w14:textId="77777777" w:rsidR="00B13AF2" w:rsidRPr="0066424E" w:rsidRDefault="00B13AF2" w:rsidP="0066424E">
      <w:pPr>
        <w:spacing w:after="120" w:line="276" w:lineRule="auto"/>
        <w:jc w:val="both"/>
        <w:outlineLvl w:val="2"/>
        <w:rPr>
          <w:rFonts w:ascii="Arial" w:eastAsia="Times New Roman" w:hAnsi="Arial" w:cs="Arial"/>
          <w:b/>
          <w:bCs/>
          <w:lang w:eastAsia="en-IN"/>
        </w:rPr>
      </w:pPr>
      <w:r w:rsidRPr="0066424E">
        <w:rPr>
          <w:rFonts w:ascii="Arial" w:eastAsia="Times New Roman" w:hAnsi="Arial" w:cs="Arial"/>
          <w:b/>
          <w:bCs/>
          <w:lang w:eastAsia="en-IN"/>
        </w:rPr>
        <w:t>Problems faced by the company</w:t>
      </w:r>
    </w:p>
    <w:p w14:paraId="6839F6EC" w14:textId="77777777" w:rsidR="00B13AF2" w:rsidRPr="0066424E" w:rsidRDefault="00B13AF2" w:rsidP="0066424E">
      <w:pPr>
        <w:spacing w:after="120" w:line="276" w:lineRule="auto"/>
        <w:ind w:firstLine="720"/>
        <w:jc w:val="both"/>
        <w:rPr>
          <w:rFonts w:ascii="Arial" w:eastAsia="Times New Roman" w:hAnsi="Arial" w:cs="Arial"/>
          <w:lang w:eastAsia="en-IN"/>
        </w:rPr>
      </w:pPr>
      <w:r w:rsidRPr="0066424E">
        <w:rPr>
          <w:rFonts w:ascii="Arial" w:eastAsia="Times New Roman" w:hAnsi="Arial" w:cs="Arial"/>
          <w:lang w:eastAsia="en-IN"/>
        </w:rPr>
        <w:t xml:space="preserve">Field evidence from the SIP highlights long sponsorship cycles, interest </w:t>
      </w:r>
      <w:r w:rsidRPr="0066424E">
        <w:rPr>
          <w:rFonts w:ascii="Arial" w:eastAsia="Times New Roman" w:hAnsi="Arial" w:cs="Arial"/>
          <w:lang w:eastAsia="en-IN"/>
        </w:rPr>
        <w:lastRenderedPageBreak/>
        <w:t xml:space="preserve">eroding at approval gates, and limited pre-event statistics to reassure new prospects. Week-level analysis showed drop-outs tied to budgets and date clashes; average cold calls of roughly 30–35 per day produced about a ten percent response; meetings stabilized at two to three per week mid-internship. In a representative week only two of ten high-potential leads converted. Generic messaging and unsegmented outreach depressed engagement until decks were tailored by sector and testimonials added. </w:t>
      </w:r>
    </w:p>
    <w:p w14:paraId="12C2A516" w14:textId="1915BCAD" w:rsidR="00B13AF2" w:rsidRPr="0066424E" w:rsidRDefault="0093086F" w:rsidP="0093086F">
      <w:pPr>
        <w:spacing w:after="120" w:line="276" w:lineRule="auto"/>
        <w:jc w:val="center"/>
        <w:outlineLvl w:val="2"/>
        <w:rPr>
          <w:rFonts w:ascii="Arial" w:eastAsia="Times New Roman" w:hAnsi="Arial" w:cs="Arial"/>
          <w:b/>
          <w:bCs/>
          <w:lang w:eastAsia="en-IN"/>
        </w:rPr>
      </w:pPr>
      <w:r w:rsidRPr="0066424E">
        <w:rPr>
          <w:rFonts w:ascii="Arial" w:eastAsia="Times New Roman" w:hAnsi="Arial" w:cs="Arial"/>
          <w:b/>
          <w:bCs/>
          <w:lang w:eastAsia="en-IN"/>
        </w:rPr>
        <w:t>KEY STRATEGIES</w:t>
      </w:r>
    </w:p>
    <w:p w14:paraId="5043FF4E" w14:textId="77777777" w:rsidR="00B13AF2" w:rsidRPr="0066424E" w:rsidRDefault="00B13AF2" w:rsidP="0066424E">
      <w:pPr>
        <w:spacing w:after="120" w:line="276" w:lineRule="auto"/>
        <w:ind w:firstLine="720"/>
        <w:jc w:val="both"/>
        <w:rPr>
          <w:rFonts w:ascii="Arial" w:eastAsia="Times New Roman" w:hAnsi="Arial" w:cs="Arial"/>
          <w:lang w:eastAsia="en-IN"/>
        </w:rPr>
      </w:pPr>
      <w:r w:rsidRPr="0066424E">
        <w:rPr>
          <w:rFonts w:ascii="Arial" w:eastAsia="Times New Roman" w:hAnsi="Arial" w:cs="Arial"/>
          <w:lang w:eastAsia="en-IN"/>
        </w:rPr>
        <w:t xml:space="preserve">Interventions that moved the needle were sector-specific pitch decks, scaled use of HubSpot for segmentation and stage tracking, and multi-channel follow-ups across WhatsApp LinkedIn phone and email with hot warm cold triage. Objection handling focused on ROI proof previous exhibitor outcomes and urgency messaging such as near-sell-out signals; senior managers were looped in to unblock late-stage concerns. The case generalizes these into a repeatable system persona-aligned proposals, sponsor-value calculators, pre-booked post-event demos within seven days, and CRM-driven cadences that timestamp next steps and hold owners accountable. </w:t>
      </w:r>
    </w:p>
    <w:p w14:paraId="5BA623A8" w14:textId="77777777" w:rsidR="00B13AF2" w:rsidRPr="0093086F" w:rsidRDefault="00B13AF2" w:rsidP="0093086F">
      <w:pPr>
        <w:spacing w:after="120" w:line="276" w:lineRule="auto"/>
        <w:jc w:val="center"/>
        <w:outlineLvl w:val="1"/>
        <w:rPr>
          <w:rFonts w:ascii="Arial" w:eastAsia="Times New Roman" w:hAnsi="Arial" w:cs="Arial"/>
          <w:b/>
          <w:bCs/>
          <w:caps/>
          <w:lang w:eastAsia="en-IN"/>
        </w:rPr>
      </w:pPr>
      <w:r w:rsidRPr="0093086F">
        <w:rPr>
          <w:rFonts w:ascii="Arial" w:eastAsia="Times New Roman" w:hAnsi="Arial" w:cs="Arial"/>
          <w:b/>
          <w:bCs/>
          <w:caps/>
          <w:lang w:eastAsia="en-IN"/>
        </w:rPr>
        <w:t>Innovation</w:t>
      </w:r>
    </w:p>
    <w:p w14:paraId="0FB2D972" w14:textId="77777777" w:rsidR="00B13AF2" w:rsidRPr="0066424E" w:rsidRDefault="00B13AF2" w:rsidP="0093086F">
      <w:pPr>
        <w:spacing w:after="120" w:line="276" w:lineRule="auto"/>
        <w:jc w:val="both"/>
        <w:rPr>
          <w:rFonts w:ascii="Arial" w:eastAsia="Times New Roman" w:hAnsi="Arial" w:cs="Arial"/>
          <w:lang w:eastAsia="en-IN"/>
        </w:rPr>
      </w:pPr>
      <w:r w:rsidRPr="0066424E">
        <w:rPr>
          <w:rFonts w:ascii="Arial" w:eastAsia="Times New Roman" w:hAnsi="Arial" w:cs="Arial"/>
          <w:b/>
          <w:bCs/>
          <w:lang w:eastAsia="en-IN"/>
        </w:rPr>
        <w:t>New concepts and learning</w:t>
      </w:r>
      <w:r w:rsidRPr="0066424E">
        <w:rPr>
          <w:rFonts w:ascii="Arial" w:eastAsia="Times New Roman" w:hAnsi="Arial" w:cs="Arial"/>
          <w:lang w:eastAsia="en-IN"/>
        </w:rPr>
        <w:br/>
        <w:t xml:space="preserve">• </w:t>
      </w:r>
      <w:r w:rsidRPr="0066424E">
        <w:rPr>
          <w:rFonts w:ascii="Arial" w:eastAsia="Times New Roman" w:hAnsi="Arial" w:cs="Arial"/>
          <w:b/>
          <w:bCs/>
          <w:lang w:eastAsia="en-IN"/>
        </w:rPr>
        <w:t>Sponsor value storyboard</w:t>
      </w:r>
      <w:r w:rsidRPr="0066424E">
        <w:rPr>
          <w:rFonts w:ascii="Arial" w:eastAsia="Times New Roman" w:hAnsi="Arial" w:cs="Arial"/>
          <w:lang w:eastAsia="en-IN"/>
        </w:rPr>
        <w:t xml:space="preserve"> a one-pager that maps pain points to three proofs footfall and profile, past sponsor outcomes, and activation plan, ensuring every outreach closes with a scheduled next action. </w:t>
      </w:r>
    </w:p>
    <w:p w14:paraId="5B4CB617" w14:textId="717A0844" w:rsidR="00B13AF2" w:rsidRPr="0066424E" w:rsidRDefault="00B13AF2" w:rsidP="0093086F">
      <w:pPr>
        <w:spacing w:after="120" w:line="276" w:lineRule="auto"/>
        <w:jc w:val="both"/>
        <w:rPr>
          <w:rFonts w:ascii="Arial" w:eastAsia="Times New Roman" w:hAnsi="Arial" w:cs="Arial"/>
          <w:lang w:eastAsia="en-IN"/>
        </w:rPr>
      </w:pPr>
      <w:r w:rsidRPr="0066424E">
        <w:rPr>
          <w:rFonts w:ascii="Arial" w:eastAsia="Times New Roman" w:hAnsi="Arial" w:cs="Arial"/>
          <w:lang w:eastAsia="en-IN"/>
        </w:rPr>
        <w:t xml:space="preserve">• </w:t>
      </w:r>
      <w:r w:rsidRPr="0066424E">
        <w:rPr>
          <w:rFonts w:ascii="Arial" w:eastAsia="Times New Roman" w:hAnsi="Arial" w:cs="Arial"/>
          <w:b/>
          <w:bCs/>
          <w:lang w:eastAsia="en-IN"/>
        </w:rPr>
        <w:t>Lead temperature ledger</w:t>
      </w:r>
      <w:r w:rsidRPr="0066424E">
        <w:rPr>
          <w:rFonts w:ascii="Arial" w:eastAsia="Times New Roman" w:hAnsi="Arial" w:cs="Arial"/>
          <w:lang w:eastAsia="en-IN"/>
        </w:rPr>
        <w:t xml:space="preserve"> a CRM view that enforces hot warm cold rules for follow-ups, prevents decay, and triggers recovery plays for stalled approvals. </w:t>
      </w:r>
    </w:p>
    <w:p w14:paraId="28F27BBB" w14:textId="719C051F" w:rsidR="00B13AF2" w:rsidRPr="0066424E" w:rsidRDefault="00B13AF2" w:rsidP="0093086F">
      <w:pPr>
        <w:spacing w:after="120" w:line="276" w:lineRule="auto"/>
        <w:jc w:val="both"/>
        <w:rPr>
          <w:rFonts w:ascii="Arial" w:eastAsia="Times New Roman" w:hAnsi="Arial" w:cs="Arial"/>
          <w:lang w:eastAsia="en-IN"/>
        </w:rPr>
      </w:pPr>
      <w:r w:rsidRPr="0066424E">
        <w:rPr>
          <w:rFonts w:ascii="Arial" w:eastAsia="Times New Roman" w:hAnsi="Arial" w:cs="Arial"/>
          <w:lang w:eastAsia="en-IN"/>
        </w:rPr>
        <w:t xml:space="preserve">• </w:t>
      </w:r>
      <w:r w:rsidRPr="0066424E">
        <w:rPr>
          <w:rFonts w:ascii="Arial" w:eastAsia="Times New Roman" w:hAnsi="Arial" w:cs="Arial"/>
          <w:b/>
          <w:bCs/>
          <w:lang w:eastAsia="en-IN"/>
        </w:rPr>
        <w:t>Event-to-demo bridge</w:t>
      </w:r>
      <w:r w:rsidRPr="0066424E">
        <w:rPr>
          <w:rFonts w:ascii="Arial" w:eastAsia="Times New Roman" w:hAnsi="Arial" w:cs="Arial"/>
          <w:lang w:eastAsia="en-IN"/>
        </w:rPr>
        <w:t xml:space="preserve"> a protocol that pre-books persona-specific demos after </w:t>
      </w:r>
      <w:r w:rsidRPr="0066424E">
        <w:rPr>
          <w:rFonts w:ascii="Arial" w:eastAsia="Times New Roman" w:hAnsi="Arial" w:cs="Arial"/>
          <w:lang w:eastAsia="en-IN"/>
        </w:rPr>
        <w:t xml:space="preserve">conferences and routes contacts to vertical specialists within a fixed window. </w:t>
      </w:r>
    </w:p>
    <w:p w14:paraId="79817392" w14:textId="77777777" w:rsidR="00B13AF2" w:rsidRPr="0066424E" w:rsidRDefault="00B13AF2" w:rsidP="0093086F">
      <w:pPr>
        <w:spacing w:after="120" w:line="276" w:lineRule="auto"/>
        <w:jc w:val="both"/>
        <w:rPr>
          <w:rFonts w:ascii="Arial" w:eastAsia="Times New Roman" w:hAnsi="Arial" w:cs="Arial"/>
          <w:lang w:eastAsia="en-IN"/>
        </w:rPr>
      </w:pPr>
      <w:r w:rsidRPr="0066424E">
        <w:rPr>
          <w:rFonts w:ascii="Arial" w:eastAsia="Times New Roman" w:hAnsi="Arial" w:cs="Arial"/>
          <w:b/>
          <w:bCs/>
          <w:lang w:eastAsia="en-IN"/>
        </w:rPr>
        <w:t>Ideas concerning the whole concept</w:t>
      </w:r>
      <w:r w:rsidRPr="0066424E">
        <w:rPr>
          <w:rFonts w:ascii="Arial" w:eastAsia="Times New Roman" w:hAnsi="Arial" w:cs="Arial"/>
          <w:lang w:eastAsia="en-IN"/>
        </w:rPr>
        <w:br/>
        <w:t xml:space="preserve">Sponsorship selling is a trust-transfer exercise. Combining sector-credible proof with disciplined cadences beats volume-only tactics; CRM hygiene and personalized narratives make ROI tangible and compress time to yes. </w:t>
      </w:r>
    </w:p>
    <w:p w14:paraId="763BA28B" w14:textId="77777777" w:rsidR="00B13AF2" w:rsidRPr="0066424E" w:rsidRDefault="00B13AF2" w:rsidP="0066424E">
      <w:pPr>
        <w:spacing w:after="120" w:line="276" w:lineRule="auto"/>
        <w:jc w:val="center"/>
        <w:outlineLvl w:val="1"/>
        <w:rPr>
          <w:rFonts w:ascii="Arial" w:eastAsia="Times New Roman" w:hAnsi="Arial" w:cs="Arial"/>
          <w:b/>
          <w:bCs/>
          <w:caps/>
          <w:lang w:eastAsia="en-IN"/>
        </w:rPr>
      </w:pPr>
      <w:r w:rsidRPr="0066424E">
        <w:rPr>
          <w:rFonts w:ascii="Arial" w:eastAsia="Times New Roman" w:hAnsi="Arial" w:cs="Arial"/>
          <w:b/>
          <w:bCs/>
          <w:caps/>
          <w:lang w:eastAsia="en-IN"/>
        </w:rPr>
        <w:t>Conclusion</w:t>
      </w:r>
    </w:p>
    <w:p w14:paraId="68D7AE19" w14:textId="77777777" w:rsidR="00B13AF2" w:rsidRPr="0066424E" w:rsidRDefault="00B13AF2" w:rsidP="0066424E">
      <w:pPr>
        <w:spacing w:after="120" w:line="276" w:lineRule="auto"/>
        <w:jc w:val="both"/>
        <w:rPr>
          <w:rFonts w:ascii="Arial" w:eastAsia="Times New Roman" w:hAnsi="Arial" w:cs="Arial"/>
          <w:lang w:eastAsia="en-IN"/>
        </w:rPr>
      </w:pPr>
      <w:proofErr w:type="spellStart"/>
      <w:r w:rsidRPr="0066424E">
        <w:rPr>
          <w:rFonts w:ascii="Arial" w:eastAsia="Times New Roman" w:hAnsi="Arial" w:cs="Arial"/>
          <w:lang w:eastAsia="en-IN"/>
        </w:rPr>
        <w:t>Trasol’s</w:t>
      </w:r>
      <w:proofErr w:type="spellEnd"/>
      <w:r w:rsidRPr="0066424E">
        <w:rPr>
          <w:rFonts w:ascii="Arial" w:eastAsia="Times New Roman" w:hAnsi="Arial" w:cs="Arial"/>
          <w:lang w:eastAsia="en-IN"/>
        </w:rPr>
        <w:t xml:space="preserve"> scale-up proves demand exists, but durable conversion needs an operating system that joins customized storytelling with CRM-enforced follow-ups and rapid proof moments. With sector-specific decks, segmented cadences, testimonial-backed ROI proof, and a tight post-event demo rhythm, the team can reduce drop-offs and forecast more confidently. The broader lesson for B2B expos is that professionalism now means data-rich reassurance, time-boxed next steps, and transparent measurement, not just venue scale or visitor count headlines. </w:t>
      </w:r>
    </w:p>
    <w:p w14:paraId="353EDBCF" w14:textId="77777777" w:rsidR="00B13AF2" w:rsidRPr="0066424E" w:rsidRDefault="00B13AF2" w:rsidP="0066424E">
      <w:pPr>
        <w:spacing w:after="120" w:line="276" w:lineRule="auto"/>
        <w:jc w:val="center"/>
        <w:outlineLvl w:val="1"/>
        <w:rPr>
          <w:rFonts w:ascii="Arial" w:eastAsia="Times New Roman" w:hAnsi="Arial" w:cs="Arial"/>
          <w:b/>
          <w:bCs/>
          <w:caps/>
          <w:lang w:eastAsia="en-IN"/>
        </w:rPr>
      </w:pPr>
      <w:r w:rsidRPr="0066424E">
        <w:rPr>
          <w:rFonts w:ascii="Arial" w:eastAsia="Times New Roman" w:hAnsi="Arial" w:cs="Arial"/>
          <w:b/>
          <w:bCs/>
          <w:caps/>
          <w:lang w:eastAsia="en-IN"/>
        </w:rPr>
        <w:t>Case questions</w:t>
      </w:r>
    </w:p>
    <w:p w14:paraId="47836F29" w14:textId="77777777" w:rsidR="00B13AF2" w:rsidRPr="0066424E" w:rsidRDefault="00B13AF2" w:rsidP="0066424E">
      <w:pPr>
        <w:numPr>
          <w:ilvl w:val="0"/>
          <w:numId w:val="1"/>
        </w:numPr>
        <w:tabs>
          <w:tab w:val="clear" w:pos="720"/>
        </w:tabs>
        <w:spacing w:after="120" w:line="276" w:lineRule="auto"/>
        <w:ind w:left="450"/>
        <w:jc w:val="both"/>
        <w:rPr>
          <w:rFonts w:ascii="Arial" w:eastAsia="Times New Roman" w:hAnsi="Arial" w:cs="Arial"/>
          <w:lang w:eastAsia="en-IN"/>
        </w:rPr>
      </w:pPr>
      <w:r w:rsidRPr="0066424E">
        <w:rPr>
          <w:rFonts w:ascii="Arial" w:eastAsia="Times New Roman" w:hAnsi="Arial" w:cs="Arial"/>
          <w:lang w:eastAsia="en-IN"/>
        </w:rPr>
        <w:t xml:space="preserve">What minimum set of statistics and stories would you include in a sponsor value storyboard for a fintech prospect and why do they de-risk the decision </w:t>
      </w:r>
    </w:p>
    <w:p w14:paraId="184C655E" w14:textId="77777777" w:rsidR="00B13AF2" w:rsidRPr="0066424E" w:rsidRDefault="00B13AF2" w:rsidP="0066424E">
      <w:pPr>
        <w:numPr>
          <w:ilvl w:val="0"/>
          <w:numId w:val="1"/>
        </w:numPr>
        <w:tabs>
          <w:tab w:val="clear" w:pos="720"/>
        </w:tabs>
        <w:spacing w:after="120" w:line="276" w:lineRule="auto"/>
        <w:ind w:left="450"/>
        <w:jc w:val="both"/>
        <w:rPr>
          <w:rFonts w:ascii="Arial" w:eastAsia="Times New Roman" w:hAnsi="Arial" w:cs="Arial"/>
          <w:lang w:eastAsia="en-IN"/>
        </w:rPr>
      </w:pPr>
      <w:r w:rsidRPr="0066424E">
        <w:rPr>
          <w:rFonts w:ascii="Arial" w:eastAsia="Times New Roman" w:hAnsi="Arial" w:cs="Arial"/>
          <w:lang w:eastAsia="en-IN"/>
        </w:rPr>
        <w:t xml:space="preserve">How would you design a seven-day post-event playbook to convert interest into committed demos and what weekly metrics prove it is working </w:t>
      </w:r>
    </w:p>
    <w:p w14:paraId="45D98916" w14:textId="77777777" w:rsidR="00B13AF2" w:rsidRPr="0066424E" w:rsidRDefault="00B13AF2" w:rsidP="0066424E">
      <w:pPr>
        <w:numPr>
          <w:ilvl w:val="0"/>
          <w:numId w:val="1"/>
        </w:numPr>
        <w:tabs>
          <w:tab w:val="clear" w:pos="720"/>
        </w:tabs>
        <w:spacing w:after="120" w:line="276" w:lineRule="auto"/>
        <w:ind w:left="450"/>
        <w:jc w:val="both"/>
        <w:rPr>
          <w:rFonts w:ascii="Arial" w:eastAsia="Times New Roman" w:hAnsi="Arial" w:cs="Arial"/>
          <w:lang w:eastAsia="en-IN"/>
        </w:rPr>
      </w:pPr>
      <w:r w:rsidRPr="0066424E">
        <w:rPr>
          <w:rFonts w:ascii="Arial" w:eastAsia="Times New Roman" w:hAnsi="Arial" w:cs="Arial"/>
          <w:lang w:eastAsia="en-IN"/>
        </w:rPr>
        <w:t xml:space="preserve">Given the documented dropout reasons how would you restructure touchpoints to pre-empt budget and approval delays without resorting to blanket discounts </w:t>
      </w:r>
    </w:p>
    <w:p w14:paraId="456CE4D6" w14:textId="77777777" w:rsidR="00B13AF2" w:rsidRPr="0066424E" w:rsidRDefault="00B13AF2" w:rsidP="0066424E">
      <w:pPr>
        <w:numPr>
          <w:ilvl w:val="0"/>
          <w:numId w:val="1"/>
        </w:numPr>
        <w:tabs>
          <w:tab w:val="clear" w:pos="720"/>
        </w:tabs>
        <w:spacing w:after="120" w:line="276" w:lineRule="auto"/>
        <w:ind w:left="450"/>
        <w:jc w:val="both"/>
        <w:rPr>
          <w:rFonts w:ascii="Arial" w:eastAsia="Times New Roman" w:hAnsi="Arial" w:cs="Arial"/>
          <w:lang w:eastAsia="en-IN"/>
        </w:rPr>
      </w:pPr>
      <w:r w:rsidRPr="0066424E">
        <w:rPr>
          <w:rFonts w:ascii="Arial" w:eastAsia="Times New Roman" w:hAnsi="Arial" w:cs="Arial"/>
          <w:lang w:eastAsia="en-IN"/>
        </w:rPr>
        <w:t xml:space="preserve">What CRM fields and stage rules are essential to prevent generic outreach and ensure true hot warm cold separation across the pipeline </w:t>
      </w:r>
    </w:p>
    <w:p w14:paraId="7D93C965" w14:textId="77777777" w:rsidR="00B13AF2" w:rsidRPr="0066424E" w:rsidRDefault="00B13AF2" w:rsidP="0066424E">
      <w:pPr>
        <w:numPr>
          <w:ilvl w:val="0"/>
          <w:numId w:val="1"/>
        </w:numPr>
        <w:tabs>
          <w:tab w:val="clear" w:pos="720"/>
        </w:tabs>
        <w:spacing w:after="120" w:line="276" w:lineRule="auto"/>
        <w:ind w:left="450"/>
        <w:jc w:val="both"/>
        <w:rPr>
          <w:rFonts w:ascii="Arial" w:eastAsia="Times New Roman" w:hAnsi="Arial" w:cs="Arial"/>
          <w:lang w:eastAsia="en-IN"/>
        </w:rPr>
      </w:pPr>
      <w:r w:rsidRPr="0066424E">
        <w:rPr>
          <w:rFonts w:ascii="Arial" w:eastAsia="Times New Roman" w:hAnsi="Arial" w:cs="Arial"/>
          <w:lang w:eastAsia="en-IN"/>
        </w:rPr>
        <w:t>Propose a sponsor retention plan that turns first-time exhibitors into multi-</w:t>
      </w:r>
      <w:r w:rsidRPr="0066424E">
        <w:rPr>
          <w:rFonts w:ascii="Arial" w:eastAsia="Times New Roman" w:hAnsi="Arial" w:cs="Arial"/>
          <w:lang w:eastAsia="en-IN"/>
        </w:rPr>
        <w:lastRenderedPageBreak/>
        <w:t xml:space="preserve">edition partners using segmentation tiered benefits and measurable ROI artefacts </w:t>
      </w:r>
    </w:p>
    <w:p w14:paraId="29A217DC" w14:textId="2D7ACA8A" w:rsidR="005017DD" w:rsidRPr="0066424E" w:rsidRDefault="00B13AF2" w:rsidP="0066424E">
      <w:pPr>
        <w:spacing w:after="120" w:line="276" w:lineRule="auto"/>
        <w:jc w:val="center"/>
        <w:rPr>
          <w:rFonts w:ascii="Arial" w:hAnsi="Arial" w:cs="Arial"/>
          <w:b/>
          <w:caps/>
        </w:rPr>
      </w:pPr>
      <w:r w:rsidRPr="0066424E">
        <w:rPr>
          <w:rFonts w:ascii="Arial" w:hAnsi="Arial" w:cs="Arial"/>
          <w:b/>
          <w:caps/>
        </w:rPr>
        <w:t>References</w:t>
      </w:r>
    </w:p>
    <w:p w14:paraId="4A7A299D" w14:textId="77777777" w:rsidR="00B13AF2" w:rsidRPr="0066424E" w:rsidRDefault="00B13AF2" w:rsidP="0066424E">
      <w:pPr>
        <w:spacing w:after="120" w:line="276" w:lineRule="auto"/>
        <w:ind w:left="720" w:hanging="720"/>
        <w:jc w:val="both"/>
        <w:rPr>
          <w:rFonts w:ascii="Arial" w:hAnsi="Arial" w:cs="Arial"/>
        </w:rPr>
      </w:pPr>
      <w:r w:rsidRPr="0066424E">
        <w:rPr>
          <w:rFonts w:ascii="Arial" w:hAnsi="Arial" w:cs="Arial"/>
        </w:rPr>
        <w:t>Capgemini. (2023). Digital outreach and ROI metrics in hybrid events.</w:t>
      </w:r>
    </w:p>
    <w:p w14:paraId="4B9B4BF1" w14:textId="77777777" w:rsidR="00B13AF2" w:rsidRPr="0066424E" w:rsidRDefault="00B13AF2" w:rsidP="0066424E">
      <w:pPr>
        <w:spacing w:after="120" w:line="276" w:lineRule="auto"/>
        <w:ind w:left="720" w:hanging="720"/>
        <w:jc w:val="both"/>
        <w:rPr>
          <w:rFonts w:ascii="Arial" w:hAnsi="Arial" w:cs="Arial"/>
        </w:rPr>
      </w:pPr>
      <w:r w:rsidRPr="0066424E">
        <w:rPr>
          <w:rFonts w:ascii="Arial" w:hAnsi="Arial" w:cs="Arial"/>
        </w:rPr>
        <w:t>Deloitte. (2023). Changing expectations of B2B sponsors in financial services events.</w:t>
      </w:r>
    </w:p>
    <w:p w14:paraId="1FBD4993" w14:textId="77777777" w:rsidR="00B13AF2" w:rsidRPr="0066424E" w:rsidRDefault="00B13AF2" w:rsidP="0066424E">
      <w:pPr>
        <w:spacing w:after="120" w:line="276" w:lineRule="auto"/>
        <w:ind w:left="720" w:hanging="720"/>
        <w:jc w:val="both"/>
        <w:rPr>
          <w:rFonts w:ascii="Arial" w:hAnsi="Arial" w:cs="Arial"/>
        </w:rPr>
      </w:pPr>
      <w:r w:rsidRPr="0066424E">
        <w:rPr>
          <w:rFonts w:ascii="Arial" w:hAnsi="Arial" w:cs="Arial"/>
        </w:rPr>
        <w:t>EY India. (2024). India MICE industry outlook: Growth of business events in Tier-1 and Tier-2 cities.</w:t>
      </w:r>
    </w:p>
    <w:p w14:paraId="3BBC4AE5" w14:textId="77777777" w:rsidR="00B13AF2" w:rsidRPr="0066424E" w:rsidRDefault="00B13AF2" w:rsidP="0066424E">
      <w:pPr>
        <w:spacing w:after="120" w:line="276" w:lineRule="auto"/>
        <w:ind w:left="720" w:hanging="720"/>
        <w:jc w:val="both"/>
        <w:rPr>
          <w:rFonts w:ascii="Arial" w:hAnsi="Arial" w:cs="Arial"/>
        </w:rPr>
      </w:pPr>
      <w:r w:rsidRPr="0066424E">
        <w:rPr>
          <w:rFonts w:ascii="Arial" w:hAnsi="Arial" w:cs="Arial"/>
        </w:rPr>
        <w:t>HubSpot. (2024). Best practices for B2B CRM and lead tracking in event sales.</w:t>
      </w:r>
    </w:p>
    <w:p w14:paraId="4191F966" w14:textId="77777777" w:rsidR="00B13AF2" w:rsidRPr="0066424E" w:rsidRDefault="00B13AF2" w:rsidP="0066424E">
      <w:pPr>
        <w:spacing w:after="120" w:line="276" w:lineRule="auto"/>
        <w:ind w:left="720" w:hanging="720"/>
        <w:jc w:val="both"/>
        <w:rPr>
          <w:rFonts w:ascii="Arial" w:hAnsi="Arial" w:cs="Arial"/>
        </w:rPr>
      </w:pPr>
      <w:r w:rsidRPr="0066424E">
        <w:rPr>
          <w:rFonts w:ascii="Arial" w:hAnsi="Arial" w:cs="Arial"/>
        </w:rPr>
        <w:t>McKinsey &amp; Company. (2023). The future of B2B events and personalized engagement.</w:t>
      </w:r>
    </w:p>
    <w:p w14:paraId="18199F77" w14:textId="77777777" w:rsidR="00B13AF2" w:rsidRPr="0066424E" w:rsidRDefault="00B13AF2" w:rsidP="0066424E">
      <w:pPr>
        <w:spacing w:after="120" w:line="276" w:lineRule="auto"/>
        <w:ind w:left="720" w:hanging="720"/>
        <w:jc w:val="both"/>
        <w:rPr>
          <w:rFonts w:ascii="Arial" w:hAnsi="Arial" w:cs="Arial"/>
        </w:rPr>
      </w:pPr>
      <w:r w:rsidRPr="0066424E">
        <w:rPr>
          <w:rFonts w:ascii="Arial" w:hAnsi="Arial" w:cs="Arial"/>
        </w:rPr>
        <w:t>Money Expo India. (2025). Event details and sponsorship plans [Event prospectus].</w:t>
      </w:r>
    </w:p>
    <w:p w14:paraId="2A0750CE" w14:textId="77777777" w:rsidR="00B13AF2" w:rsidRPr="0066424E" w:rsidRDefault="00B13AF2" w:rsidP="0066424E">
      <w:pPr>
        <w:spacing w:after="120" w:line="276" w:lineRule="auto"/>
        <w:ind w:left="720" w:hanging="720"/>
        <w:jc w:val="both"/>
        <w:rPr>
          <w:rFonts w:ascii="Arial" w:hAnsi="Arial" w:cs="Arial"/>
        </w:rPr>
      </w:pPr>
      <w:r w:rsidRPr="0066424E">
        <w:rPr>
          <w:rFonts w:ascii="Arial" w:hAnsi="Arial" w:cs="Arial"/>
        </w:rPr>
        <w:t>Statista. (2025). Event industry revenue in India, 2023–2025.</w:t>
      </w:r>
    </w:p>
    <w:p w14:paraId="75B3A7A1" w14:textId="5F12523C" w:rsidR="00B13AF2" w:rsidRPr="0066424E" w:rsidRDefault="00B13AF2" w:rsidP="0066424E">
      <w:pPr>
        <w:spacing w:after="120" w:line="276" w:lineRule="auto"/>
        <w:ind w:left="720" w:hanging="720"/>
        <w:jc w:val="both"/>
        <w:rPr>
          <w:rFonts w:ascii="Arial" w:hAnsi="Arial" w:cs="Arial"/>
        </w:rPr>
      </w:pPr>
      <w:proofErr w:type="spellStart"/>
      <w:r w:rsidRPr="0066424E">
        <w:rPr>
          <w:rFonts w:ascii="Arial" w:hAnsi="Arial" w:cs="Arial"/>
        </w:rPr>
        <w:t>Trasol</w:t>
      </w:r>
      <w:proofErr w:type="spellEnd"/>
      <w:r w:rsidRPr="0066424E">
        <w:rPr>
          <w:rFonts w:ascii="Arial" w:hAnsi="Arial" w:cs="Arial"/>
        </w:rPr>
        <w:t xml:space="preserve"> Technologies and Events. (2025). Company overview and Money Expo brochure</w:t>
      </w:r>
      <w:r w:rsidR="00240C0F">
        <w:rPr>
          <w:rFonts w:ascii="Arial" w:hAnsi="Arial" w:cs="Arial"/>
        </w:rPr>
        <w:t>.</w:t>
      </w:r>
      <w:r w:rsidRPr="0066424E">
        <w:rPr>
          <w:rFonts w:ascii="Arial" w:hAnsi="Arial" w:cs="Arial"/>
        </w:rPr>
        <w:t xml:space="preserve"> </w:t>
      </w:r>
    </w:p>
    <w:sectPr w:rsidR="00B13AF2" w:rsidRPr="0066424E" w:rsidSect="00197B5C">
      <w:headerReference w:type="even" r:id="rId11"/>
      <w:type w:val="continuous"/>
      <w:pgSz w:w="11906" w:h="16838" w:code="9"/>
      <w:pgMar w:top="1440" w:right="1440" w:bottom="1440" w:left="1440" w:header="1008" w:footer="720" w:gutter="0"/>
      <w:pgNumType w:start="58"/>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74AA1" w14:textId="77777777" w:rsidR="009934C1" w:rsidRDefault="009934C1" w:rsidP="0066424E">
      <w:pPr>
        <w:spacing w:after="0" w:line="240" w:lineRule="auto"/>
      </w:pPr>
      <w:r>
        <w:separator/>
      </w:r>
    </w:p>
  </w:endnote>
  <w:endnote w:type="continuationSeparator" w:id="0">
    <w:p w14:paraId="49FDBDF1" w14:textId="77777777" w:rsidR="009934C1" w:rsidRDefault="009934C1" w:rsidP="00664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6D502" w14:textId="77777777" w:rsidR="009934C1" w:rsidRDefault="009934C1" w:rsidP="0066424E">
      <w:pPr>
        <w:spacing w:after="0" w:line="240" w:lineRule="auto"/>
      </w:pPr>
      <w:r>
        <w:separator/>
      </w:r>
    </w:p>
  </w:footnote>
  <w:footnote w:type="continuationSeparator" w:id="0">
    <w:p w14:paraId="7D59C0C9" w14:textId="77777777" w:rsidR="009934C1" w:rsidRDefault="009934C1" w:rsidP="00664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E83CA" w14:textId="647A2463" w:rsidR="0066424E" w:rsidRPr="002307A4" w:rsidRDefault="0066424E" w:rsidP="002307A4">
    <w:pPr>
      <w:pBdr>
        <w:bottom w:val="single" w:sz="4" w:space="1" w:color="auto"/>
      </w:pBdr>
      <w:spacing w:after="0" w:line="160" w:lineRule="atLeast"/>
      <w:jc w:val="both"/>
      <w:rPr>
        <w:rFonts w:ascii="Arial" w:hAnsi="Arial" w:cs="Arial"/>
        <w:sz w:val="16"/>
        <w:szCs w:val="16"/>
      </w:rPr>
    </w:pP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sidR="0012430A">
      <w:rPr>
        <w:rFonts w:ascii="Arial" w:hAnsi="Arial" w:cs="Arial"/>
        <w:noProof/>
        <w:sz w:val="16"/>
        <w:szCs w:val="16"/>
      </w:rPr>
      <w:t>54</w:t>
    </w:r>
    <w:r w:rsidRPr="00B62BAE">
      <w:rPr>
        <w:rFonts w:ascii="Arial" w:hAnsi="Arial" w:cs="Arial"/>
        <w:noProof/>
        <w:sz w:val="16"/>
        <w:szCs w:val="16"/>
      </w:rPr>
      <w:fldChar w:fldCharType="end"/>
    </w:r>
    <w:r w:rsidRPr="00B62BAE">
      <w:rPr>
        <w:rFonts w:ascii="Arial" w:hAnsi="Arial" w:cs="Arial"/>
        <w:noProof/>
        <w:sz w:val="16"/>
        <w:szCs w:val="16"/>
      </w:rPr>
      <w:tab/>
    </w:r>
    <w:r>
      <w:rPr>
        <w:rFonts w:ascii="Arial" w:hAnsi="Arial" w:cs="Arial"/>
        <w:noProof/>
        <w:sz w:val="16"/>
        <w:szCs w:val="16"/>
      </w:rPr>
      <w:tab/>
      <w:t xml:space="preserve">   </w:t>
    </w:r>
    <w:r w:rsidRPr="00B62BAE">
      <w:rPr>
        <w:rFonts w:ascii="Arial" w:eastAsia="Arial" w:hAnsi="Arial" w:cs="Arial"/>
        <w:i/>
        <w:color w:val="000000"/>
        <w:sz w:val="16"/>
        <w:szCs w:val="16"/>
      </w:rPr>
      <w:t>International</w:t>
    </w:r>
    <w:r w:rsidRPr="00B62BAE">
      <w:rPr>
        <w:rFonts w:ascii="Arial" w:eastAsia="Arial" w:hAnsi="Arial" w:cs="Arial"/>
        <w:i/>
        <w:color w:val="000000"/>
        <w:spacing w:val="-1"/>
        <w:sz w:val="16"/>
        <w:szCs w:val="16"/>
      </w:rPr>
      <w:t xml:space="preserve"> Academic Research Journal of Business and Management</w:t>
    </w:r>
    <w:r w:rsidRPr="00B62BAE">
      <w:rPr>
        <w:rFonts w:ascii="Arial" w:eastAsia="Arial" w:hAnsi="Arial" w:cs="Arial"/>
        <w:i/>
        <w:color w:val="000000"/>
        <w:spacing w:val="-1"/>
        <w:sz w:val="16"/>
        <w:szCs w:val="16"/>
      </w:rPr>
      <w:tab/>
    </w:r>
    <w:r w:rsidRPr="00B62BAE">
      <w:rPr>
        <w:rFonts w:ascii="Arial" w:eastAsia="Arial" w:hAnsi="Arial" w:cs="Arial"/>
        <w:i/>
        <w:color w:val="000000"/>
        <w:spacing w:val="-1"/>
        <w:sz w:val="16"/>
        <w:szCs w:val="16"/>
      </w:rPr>
      <w:tab/>
    </w:r>
    <w:r w:rsidR="008D03A4">
      <w:rPr>
        <w:rFonts w:ascii="Arial" w:eastAsia="Arial" w:hAnsi="Arial" w:cs="Arial"/>
        <w:i/>
        <w:color w:val="000000"/>
        <w:spacing w:val="-1"/>
        <w:sz w:val="16"/>
        <w:szCs w:val="16"/>
      </w:rPr>
      <w:t xml:space="preserve">       Dec</w:t>
    </w:r>
    <w:r>
      <w:rPr>
        <w:rFonts w:ascii="Arial" w:eastAsia="Arial" w:hAnsi="Arial" w:cs="Arial"/>
        <w:i/>
        <w:color w:val="000000"/>
        <w:spacing w:val="-1"/>
        <w:sz w:val="16"/>
        <w:szCs w:val="16"/>
      </w:rPr>
      <w:t xml:space="preserve">ember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584EE" w14:textId="7A8700D5" w:rsidR="0066424E" w:rsidRDefault="0066424E" w:rsidP="002307A4">
    <w:pPr>
      <w:pBdr>
        <w:bottom w:val="single" w:sz="4" w:space="1" w:color="auto"/>
      </w:pBdr>
      <w:spacing w:after="0" w:line="160" w:lineRule="atLeast"/>
      <w:jc w:val="both"/>
    </w:pPr>
    <w:r w:rsidRPr="00B62BAE">
      <w:rPr>
        <w:rFonts w:ascii="Arial" w:hAnsi="Arial" w:cs="Arial"/>
        <w:sz w:val="16"/>
        <w:szCs w:val="16"/>
      </w:rPr>
      <w:t>20</w:t>
    </w:r>
    <w:r>
      <w:rPr>
        <w:rFonts w:ascii="Arial" w:hAnsi="Arial" w:cs="Arial"/>
        <w:sz w:val="16"/>
        <w:szCs w:val="16"/>
      </w:rPr>
      <w:t>25</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197B5C">
      <w:rPr>
        <w:rFonts w:ascii="Arial" w:hAnsi="Arial" w:cs="Arial"/>
        <w:i/>
        <w:iCs/>
        <w:sz w:val="16"/>
        <w:szCs w:val="16"/>
      </w:rPr>
      <w:t>V A Monica, Dr. M. Govindaraj</w:t>
    </w:r>
    <w:r w:rsidRPr="00B62BAE">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sidR="0012430A">
      <w:rPr>
        <w:rFonts w:ascii="Arial" w:hAnsi="Arial" w:cs="Arial"/>
        <w:noProof/>
        <w:sz w:val="16"/>
        <w:szCs w:val="16"/>
      </w:rPr>
      <w:t>53</w:t>
    </w:r>
    <w:r w:rsidRPr="00B62BAE">
      <w:rPr>
        <w:rFonts w:ascii="Arial" w:hAnsi="Arial" w:cs="Arial"/>
        <w:noProof/>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DC2F" w14:textId="77777777" w:rsidR="00197B5C" w:rsidRPr="002307A4" w:rsidRDefault="00197B5C" w:rsidP="002307A4">
    <w:pPr>
      <w:pBdr>
        <w:bottom w:val="single" w:sz="4" w:space="1" w:color="auto"/>
      </w:pBdr>
      <w:spacing w:after="0" w:line="160" w:lineRule="atLeast"/>
      <w:jc w:val="both"/>
      <w:rPr>
        <w:rFonts w:ascii="Arial" w:hAnsi="Arial" w:cs="Arial"/>
        <w:sz w:val="16"/>
        <w:szCs w:val="16"/>
      </w:rPr>
    </w:pP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Pr>
        <w:rFonts w:ascii="Arial" w:hAnsi="Arial" w:cs="Arial"/>
        <w:noProof/>
        <w:sz w:val="16"/>
        <w:szCs w:val="16"/>
      </w:rPr>
      <w:t>54</w:t>
    </w:r>
    <w:r w:rsidRPr="00B62BAE">
      <w:rPr>
        <w:rFonts w:ascii="Arial" w:hAnsi="Arial" w:cs="Arial"/>
        <w:noProof/>
        <w:sz w:val="16"/>
        <w:szCs w:val="16"/>
      </w:rPr>
      <w:fldChar w:fldCharType="end"/>
    </w:r>
    <w:r w:rsidRPr="00B62BAE">
      <w:rPr>
        <w:rFonts w:ascii="Arial" w:hAnsi="Arial" w:cs="Arial"/>
        <w:noProof/>
        <w:sz w:val="16"/>
        <w:szCs w:val="16"/>
      </w:rPr>
      <w:tab/>
    </w:r>
    <w:r>
      <w:rPr>
        <w:rFonts w:ascii="Arial" w:hAnsi="Arial" w:cs="Arial"/>
        <w:noProof/>
        <w:sz w:val="16"/>
        <w:szCs w:val="16"/>
      </w:rPr>
      <w:tab/>
      <w:t xml:space="preserve">   </w:t>
    </w:r>
    <w:r w:rsidRPr="00B62BAE">
      <w:rPr>
        <w:rFonts w:ascii="Arial" w:eastAsia="Arial" w:hAnsi="Arial" w:cs="Arial"/>
        <w:i/>
        <w:color w:val="000000"/>
        <w:sz w:val="16"/>
        <w:szCs w:val="16"/>
      </w:rPr>
      <w:t>International</w:t>
    </w:r>
    <w:r w:rsidRPr="00B62BAE">
      <w:rPr>
        <w:rFonts w:ascii="Arial" w:eastAsia="Arial" w:hAnsi="Arial" w:cs="Arial"/>
        <w:i/>
        <w:color w:val="000000"/>
        <w:spacing w:val="-1"/>
        <w:sz w:val="16"/>
        <w:szCs w:val="16"/>
      </w:rPr>
      <w:t xml:space="preserve"> Academic Research Journal of Business and Management</w:t>
    </w:r>
    <w:r w:rsidRPr="00B62BAE">
      <w:rPr>
        <w:rFonts w:ascii="Arial" w:eastAsia="Arial" w:hAnsi="Arial" w:cs="Arial"/>
        <w:i/>
        <w:color w:val="000000"/>
        <w:spacing w:val="-1"/>
        <w:sz w:val="16"/>
        <w:szCs w:val="16"/>
      </w:rPr>
      <w:tab/>
    </w:r>
    <w:r w:rsidRPr="00B62BAE">
      <w:rPr>
        <w:rFonts w:ascii="Arial" w:eastAsia="Arial" w:hAnsi="Arial" w:cs="Arial"/>
        <w:i/>
        <w:color w:val="000000"/>
        <w:spacing w:val="-1"/>
        <w:sz w:val="16"/>
        <w:szCs w:val="16"/>
      </w:rPr>
      <w:tab/>
    </w:r>
    <w:r>
      <w:rPr>
        <w:rFonts w:ascii="Arial" w:eastAsia="Arial" w:hAnsi="Arial" w:cs="Arial"/>
        <w:i/>
        <w:color w:val="000000"/>
        <w:spacing w:val="-1"/>
        <w:sz w:val="16"/>
        <w:szCs w:val="16"/>
      </w:rPr>
      <w:t xml:space="preserve">       December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35CC7"/>
    <w:multiLevelType w:val="multilevel"/>
    <w:tmpl w:val="1C902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047939"/>
    <w:multiLevelType w:val="hybridMultilevel"/>
    <w:tmpl w:val="C53E82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72713284">
    <w:abstractNumId w:val="0"/>
  </w:num>
  <w:num w:numId="2" w16cid:durableId="626396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AF2"/>
    <w:rsid w:val="000E7E18"/>
    <w:rsid w:val="0012430A"/>
    <w:rsid w:val="00166CD1"/>
    <w:rsid w:val="00197B5C"/>
    <w:rsid w:val="002307A4"/>
    <w:rsid w:val="00240C0F"/>
    <w:rsid w:val="00291723"/>
    <w:rsid w:val="00386879"/>
    <w:rsid w:val="005017DD"/>
    <w:rsid w:val="00542477"/>
    <w:rsid w:val="00577DE6"/>
    <w:rsid w:val="005A2E23"/>
    <w:rsid w:val="005C0687"/>
    <w:rsid w:val="0066424E"/>
    <w:rsid w:val="00752025"/>
    <w:rsid w:val="007732AE"/>
    <w:rsid w:val="007E0FCD"/>
    <w:rsid w:val="00855F52"/>
    <w:rsid w:val="008D03A4"/>
    <w:rsid w:val="008E1B08"/>
    <w:rsid w:val="0093086F"/>
    <w:rsid w:val="0098746A"/>
    <w:rsid w:val="009934C1"/>
    <w:rsid w:val="00A17E48"/>
    <w:rsid w:val="00B13AF2"/>
    <w:rsid w:val="00BB183E"/>
    <w:rsid w:val="00C8454A"/>
    <w:rsid w:val="00CB44F5"/>
    <w:rsid w:val="00F35E60"/>
    <w:rsid w:val="00F67E2D"/>
    <w:rsid w:val="00F73B18"/>
    <w:rsid w:val="00FD2868"/>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C271A"/>
  <w15:chartTrackingRefBased/>
  <w15:docId w15:val="{EF59407B-6BEA-496E-889F-4E97F49D3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13AF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B13AF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3AF2"/>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B13AF2"/>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B13AF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B13AF2"/>
    <w:rPr>
      <w:b/>
      <w:bCs/>
    </w:rPr>
  </w:style>
  <w:style w:type="character" w:customStyle="1" w:styleId="relative">
    <w:name w:val="relative"/>
    <w:basedOn w:val="DefaultParagraphFont"/>
    <w:rsid w:val="00B13AF2"/>
  </w:style>
  <w:style w:type="paragraph" w:customStyle="1" w:styleId="not-prose">
    <w:name w:val="not-prose"/>
    <w:basedOn w:val="Normal"/>
    <w:rsid w:val="00B13AF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B13AF2"/>
    <w:pPr>
      <w:ind w:left="720"/>
      <w:contextualSpacing/>
    </w:pPr>
  </w:style>
  <w:style w:type="character" w:styleId="Hyperlink">
    <w:name w:val="Hyperlink"/>
    <w:basedOn w:val="DefaultParagraphFont"/>
    <w:uiPriority w:val="99"/>
    <w:unhideWhenUsed/>
    <w:rsid w:val="00FD2868"/>
    <w:rPr>
      <w:color w:val="0563C1" w:themeColor="hyperlink"/>
      <w:u w:val="single"/>
    </w:rPr>
  </w:style>
  <w:style w:type="paragraph" w:styleId="Header">
    <w:name w:val="header"/>
    <w:basedOn w:val="Normal"/>
    <w:link w:val="HeaderChar"/>
    <w:uiPriority w:val="99"/>
    <w:unhideWhenUsed/>
    <w:rsid w:val="006642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424E"/>
  </w:style>
  <w:style w:type="paragraph" w:styleId="Footer">
    <w:name w:val="footer"/>
    <w:basedOn w:val="Normal"/>
    <w:link w:val="FooterChar"/>
    <w:uiPriority w:val="99"/>
    <w:unhideWhenUsed/>
    <w:rsid w:val="006642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24E"/>
  </w:style>
  <w:style w:type="table" w:styleId="TableGrid">
    <w:name w:val="Table Grid"/>
    <w:basedOn w:val="TableNormal"/>
    <w:uiPriority w:val="39"/>
    <w:rsid w:val="00664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66CD1"/>
    <w:rPr>
      <w:color w:val="954F72" w:themeColor="followedHyperlink"/>
      <w:u w:val="single"/>
    </w:rPr>
  </w:style>
  <w:style w:type="character" w:styleId="UnresolvedMention">
    <w:name w:val="Unresolved Mention"/>
    <w:basedOn w:val="DefaultParagraphFont"/>
    <w:uiPriority w:val="99"/>
    <w:semiHidden/>
    <w:unhideWhenUsed/>
    <w:rsid w:val="00A17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251958">
      <w:bodyDiv w:val="1"/>
      <w:marLeft w:val="0"/>
      <w:marRight w:val="0"/>
      <w:marTop w:val="0"/>
      <w:marBottom w:val="0"/>
      <w:divBdr>
        <w:top w:val="none" w:sz="0" w:space="0" w:color="auto"/>
        <w:left w:val="none" w:sz="0" w:space="0" w:color="auto"/>
        <w:bottom w:val="none" w:sz="0" w:space="0" w:color="auto"/>
        <w:right w:val="none" w:sz="0" w:space="0" w:color="auto"/>
      </w:divBdr>
    </w:div>
    <w:div w:id="210340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81/zenodo.1782613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464CE-6E9F-41B7-9928-D8CAADD22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CMS-STAFF139</dc:creator>
  <cp:keywords/>
  <dc:description/>
  <cp:lastModifiedBy>Ravi chandran</cp:lastModifiedBy>
  <cp:revision>22</cp:revision>
  <dcterms:created xsi:type="dcterms:W3CDTF">2025-11-14T04:09:00Z</dcterms:created>
  <dcterms:modified xsi:type="dcterms:W3CDTF">2025-12-05T06:43:00Z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2025-11-14T04:30:24Z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2233788e-8b2f-4480-8d4a-27a2933a6283</vt:lpwstr>
  </property>
  <property fmtid="{D5CDD505-2E9C-101B-9397-08002B2CF9AE}" pid="7" name="MSIP_Label_defa4170-0d19-0005-0004-bc88714345d2_ActionId">
    <vt:lpwstr>c7a35c98-7e5c-4e67-96f5-c0b35cb91f2b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