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9CBA9" w14:textId="64F16662" w:rsidR="007419B7" w:rsidRPr="00B364AA" w:rsidRDefault="007419B7" w:rsidP="007419B7">
      <w:pPr>
        <w:spacing w:after="0" w:line="160" w:lineRule="atLeast"/>
        <w:jc w:val="both"/>
        <w:rPr>
          <w:rFonts w:ascii="Arial" w:eastAsia="Arial" w:hAnsi="Arial" w:cs="Arial"/>
          <w:i/>
          <w:color w:val="000000"/>
          <w:spacing w:val="-1"/>
          <w:sz w:val="14"/>
          <w:szCs w:val="14"/>
        </w:rPr>
      </w:pPr>
      <w:r w:rsidRPr="00B364AA">
        <w:rPr>
          <w:rFonts w:ascii="Arial" w:eastAsia="Arial" w:hAnsi="Arial" w:cs="Arial"/>
          <w:i/>
          <w:color w:val="000000"/>
          <w:sz w:val="14"/>
          <w:szCs w:val="14"/>
        </w:rPr>
        <w:t>©</w:t>
      </w:r>
      <w:r w:rsidRPr="00B364AA">
        <w:rPr>
          <w:rFonts w:ascii="Arial" w:eastAsia="Arial" w:hAnsi="Arial" w:cs="Arial"/>
          <w:i/>
          <w:color w:val="000000"/>
          <w:spacing w:val="-1"/>
          <w:sz w:val="14"/>
          <w:szCs w:val="14"/>
        </w:rPr>
        <w:t xml:space="preserve"> </w:t>
      </w:r>
      <w:r w:rsidRPr="00B364AA">
        <w:rPr>
          <w:rFonts w:ascii="Arial" w:eastAsia="Arial" w:hAnsi="Arial" w:cs="Arial"/>
          <w:i/>
          <w:color w:val="000000"/>
          <w:sz w:val="14"/>
          <w:szCs w:val="14"/>
        </w:rPr>
        <w:t>International</w:t>
      </w:r>
      <w:r w:rsidRPr="00B364AA">
        <w:rPr>
          <w:rFonts w:ascii="Arial" w:eastAsia="Arial" w:hAnsi="Arial" w:cs="Arial"/>
          <w:i/>
          <w:color w:val="000000"/>
          <w:spacing w:val="-1"/>
          <w:sz w:val="14"/>
          <w:szCs w:val="14"/>
        </w:rPr>
        <w:t xml:space="preserve"> Academic Research Journal of Business and Management   </w:t>
      </w:r>
      <w:r w:rsidRPr="00B364AA">
        <w:rPr>
          <w:rFonts w:ascii="Arial" w:eastAsia="Arial" w:hAnsi="Arial" w:cs="Arial"/>
          <w:i/>
          <w:color w:val="000000"/>
          <w:spacing w:val="-1"/>
          <w:sz w:val="14"/>
          <w:szCs w:val="14"/>
        </w:rPr>
        <w:tab/>
        <w:t xml:space="preserve">                          </w:t>
      </w:r>
      <w:r w:rsidR="005161E0">
        <w:rPr>
          <w:rFonts w:ascii="Arial" w:eastAsia="Arial" w:hAnsi="Arial" w:cs="Arial"/>
          <w:i/>
          <w:color w:val="000000"/>
          <w:spacing w:val="-1"/>
          <w:sz w:val="14"/>
          <w:szCs w:val="14"/>
        </w:rPr>
        <w:t xml:space="preserve">                                     </w:t>
      </w:r>
      <w:r w:rsidR="00D9440D">
        <w:rPr>
          <w:rFonts w:ascii="Arial" w:eastAsia="Arial" w:hAnsi="Arial" w:cs="Arial"/>
          <w:i/>
          <w:color w:val="000000"/>
          <w:spacing w:val="-1"/>
          <w:sz w:val="14"/>
          <w:szCs w:val="14"/>
        </w:rPr>
        <w:tab/>
        <w:t xml:space="preserve"> </w:t>
      </w:r>
      <w:r w:rsidR="00D9440D" w:rsidRPr="00812D87">
        <w:rPr>
          <w:rFonts w:ascii="Arial" w:eastAsia="Arial" w:hAnsi="Arial" w:cs="Arial"/>
          <w:i/>
          <w:color w:val="000000" w:themeColor="text1"/>
          <w:spacing w:val="-1"/>
          <w:sz w:val="14"/>
          <w:szCs w:val="14"/>
        </w:rPr>
        <w:t>ISSN:2227-1287</w:t>
      </w:r>
    </w:p>
    <w:p w14:paraId="5E66D527" w14:textId="414BF7C2" w:rsidR="007419B7" w:rsidRDefault="007419B7" w:rsidP="007419B7">
      <w:pPr>
        <w:spacing w:after="0" w:line="160" w:lineRule="atLeast"/>
        <w:jc w:val="both"/>
        <w:rPr>
          <w:rFonts w:ascii="Arial" w:eastAsia="Arial" w:hAnsi="Arial" w:cs="Arial"/>
          <w:b/>
          <w:bCs/>
          <w:i/>
          <w:spacing w:val="-1"/>
          <w:sz w:val="14"/>
          <w:szCs w:val="14"/>
        </w:rPr>
      </w:pPr>
      <w:r w:rsidRPr="00B364AA">
        <w:rPr>
          <w:rFonts w:ascii="Arial" w:eastAsia="Arial" w:hAnsi="Arial" w:cs="Arial"/>
          <w:i/>
          <w:color w:val="000000"/>
          <w:spacing w:val="-1"/>
          <w:sz w:val="14"/>
          <w:szCs w:val="14"/>
        </w:rPr>
        <w:t>Volume 13, Issue No:2, December 2025</w:t>
      </w:r>
      <w:r w:rsidR="00D9440D">
        <w:rPr>
          <w:rFonts w:ascii="Arial" w:eastAsia="Arial" w:hAnsi="Arial" w:cs="Arial"/>
          <w:i/>
          <w:color w:val="000000"/>
          <w:spacing w:val="-1"/>
          <w:sz w:val="14"/>
          <w:szCs w:val="14"/>
        </w:rPr>
        <w:tab/>
      </w:r>
      <w:r w:rsidR="00D9440D">
        <w:rPr>
          <w:rFonts w:ascii="Arial" w:eastAsia="Arial" w:hAnsi="Arial" w:cs="Arial"/>
          <w:i/>
          <w:color w:val="000000"/>
          <w:spacing w:val="-1"/>
          <w:sz w:val="14"/>
          <w:szCs w:val="14"/>
        </w:rPr>
        <w:tab/>
      </w:r>
      <w:r w:rsidR="00D9440D">
        <w:rPr>
          <w:rFonts w:ascii="Arial" w:eastAsia="Arial" w:hAnsi="Arial" w:cs="Arial"/>
          <w:i/>
          <w:color w:val="000000"/>
          <w:spacing w:val="-1"/>
          <w:sz w:val="14"/>
          <w:szCs w:val="14"/>
        </w:rPr>
        <w:tab/>
      </w:r>
      <w:r w:rsidR="00D9440D">
        <w:rPr>
          <w:rFonts w:ascii="Arial" w:eastAsia="Arial" w:hAnsi="Arial" w:cs="Arial"/>
          <w:i/>
          <w:color w:val="000000"/>
          <w:spacing w:val="-1"/>
          <w:sz w:val="14"/>
          <w:szCs w:val="14"/>
        </w:rPr>
        <w:tab/>
      </w:r>
      <w:r w:rsidR="00D9440D">
        <w:rPr>
          <w:rFonts w:ascii="Arial" w:eastAsia="Arial" w:hAnsi="Arial" w:cs="Arial"/>
          <w:i/>
          <w:color w:val="000000"/>
          <w:spacing w:val="-1"/>
          <w:sz w:val="14"/>
          <w:szCs w:val="14"/>
        </w:rPr>
        <w:tab/>
        <w:t xml:space="preserve">           </w:t>
      </w:r>
      <w:r w:rsidRPr="00B364AA">
        <w:rPr>
          <w:rFonts w:ascii="Arial" w:eastAsia="Arial" w:hAnsi="Arial" w:cs="Arial"/>
          <w:i/>
          <w:color w:val="000000"/>
          <w:spacing w:val="-1"/>
          <w:sz w:val="14"/>
          <w:szCs w:val="14"/>
        </w:rPr>
        <w:t xml:space="preserve">DOI: </w:t>
      </w:r>
      <w:hyperlink r:id="rId7" w:history="1">
        <w:r w:rsidR="00B76C01" w:rsidRPr="00DB7ECC">
          <w:rPr>
            <w:rStyle w:val="Hyperlink"/>
            <w:rFonts w:ascii="Arial" w:eastAsia="Arial" w:hAnsi="Arial" w:cs="Arial"/>
            <w:i/>
            <w:spacing w:val="-1"/>
            <w:sz w:val="14"/>
            <w:szCs w:val="14"/>
          </w:rPr>
          <w:t>https://doi.org/10.5281/zenodo.17826166</w:t>
        </w:r>
      </w:hyperlink>
    </w:p>
    <w:p w14:paraId="2A0C334E" w14:textId="77777777" w:rsidR="007419B7" w:rsidRPr="00B364AA" w:rsidRDefault="007419B7" w:rsidP="007419B7">
      <w:pPr>
        <w:spacing w:after="0" w:line="240" w:lineRule="auto"/>
        <w:outlineLvl w:val="0"/>
        <w:rPr>
          <w:rFonts w:ascii="Arial" w:eastAsia="Times New Roman" w:hAnsi="Arial" w:cs="Arial"/>
          <w:b/>
          <w:bCs/>
          <w:kern w:val="36"/>
          <w:sz w:val="26"/>
          <w:szCs w:val="26"/>
          <w:lang w:eastAsia="en-IN"/>
        </w:rPr>
      </w:pPr>
    </w:p>
    <w:p w14:paraId="3118EDA9" w14:textId="77777777" w:rsidR="00B364AA" w:rsidRPr="00D9440D" w:rsidRDefault="00B364AA" w:rsidP="00B364AA">
      <w:pPr>
        <w:jc w:val="center"/>
        <w:rPr>
          <w:rFonts w:ascii="Times New Roman" w:hAnsi="Times New Roman" w:cs="Times New Roman"/>
          <w:b/>
          <w:sz w:val="32"/>
          <w:szCs w:val="32"/>
        </w:rPr>
      </w:pPr>
      <w:r w:rsidRPr="00D9440D">
        <w:rPr>
          <w:rFonts w:ascii="Times New Roman" w:hAnsi="Times New Roman" w:cs="Times New Roman"/>
          <w:b/>
          <w:sz w:val="32"/>
          <w:szCs w:val="32"/>
        </w:rPr>
        <w:t>Technology Adoption and Digital Integration Challenges at BRYDGE HR Consulting</w:t>
      </w:r>
    </w:p>
    <w:p w14:paraId="24623A52" w14:textId="77777777" w:rsidR="007419B7" w:rsidRPr="00B364AA" w:rsidRDefault="007419B7" w:rsidP="007419B7">
      <w:pPr>
        <w:spacing w:after="0" w:line="240" w:lineRule="auto"/>
        <w:contextualSpacing/>
        <w:jc w:val="center"/>
        <w:rPr>
          <w:rFonts w:ascii="Arial" w:hAnsi="Arial" w:cs="Arial"/>
          <w:b/>
          <w:sz w:val="16"/>
          <w:szCs w:val="1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7419B7" w:rsidRPr="00CC3013" w14:paraId="13E12042" w14:textId="77777777" w:rsidTr="005161E0">
        <w:trPr>
          <w:jc w:val="center"/>
        </w:trPr>
        <w:tc>
          <w:tcPr>
            <w:tcW w:w="3828" w:type="dxa"/>
          </w:tcPr>
          <w:p w14:paraId="67643208" w14:textId="77777777" w:rsidR="00B364AA" w:rsidRPr="00CC3013" w:rsidRDefault="00B364AA" w:rsidP="00B364AA">
            <w:pPr>
              <w:contextualSpacing/>
              <w:jc w:val="center"/>
              <w:rPr>
                <w:rFonts w:ascii="Calibri" w:hAnsi="Calibri" w:cs="Calibri"/>
                <w:b/>
                <w:i/>
                <w:iCs/>
                <w:sz w:val="16"/>
                <w:szCs w:val="16"/>
              </w:rPr>
            </w:pPr>
            <w:r w:rsidRPr="00CC3013">
              <w:rPr>
                <w:rFonts w:ascii="Calibri" w:hAnsi="Calibri" w:cs="Calibri"/>
                <w:b/>
                <w:i/>
                <w:iCs/>
                <w:sz w:val="16"/>
                <w:szCs w:val="16"/>
              </w:rPr>
              <w:t xml:space="preserve">Pravalika R </w:t>
            </w:r>
          </w:p>
          <w:p w14:paraId="09E0395F" w14:textId="77777777" w:rsidR="007419B7" w:rsidRPr="00CC3013" w:rsidRDefault="007419B7" w:rsidP="007419B7">
            <w:pPr>
              <w:contextualSpacing/>
              <w:jc w:val="center"/>
              <w:rPr>
                <w:rFonts w:ascii="Calibri" w:hAnsi="Calibri" w:cs="Calibri"/>
                <w:sz w:val="16"/>
                <w:szCs w:val="16"/>
              </w:rPr>
            </w:pPr>
            <w:r w:rsidRPr="00CC3013">
              <w:rPr>
                <w:rFonts w:ascii="Calibri" w:hAnsi="Calibri" w:cs="Calibri"/>
                <w:sz w:val="16"/>
                <w:szCs w:val="16"/>
              </w:rPr>
              <w:t>Student, Faculty of Management Studies,</w:t>
            </w:r>
          </w:p>
          <w:p w14:paraId="7A05AA87" w14:textId="77777777" w:rsidR="007419B7" w:rsidRPr="00CC3013" w:rsidRDefault="007419B7" w:rsidP="007419B7">
            <w:pPr>
              <w:contextualSpacing/>
              <w:jc w:val="center"/>
              <w:rPr>
                <w:rFonts w:ascii="Calibri" w:hAnsi="Calibri" w:cs="Calibri"/>
                <w:sz w:val="16"/>
                <w:szCs w:val="16"/>
              </w:rPr>
            </w:pPr>
            <w:r w:rsidRPr="00CC3013">
              <w:rPr>
                <w:rFonts w:ascii="Calibri" w:hAnsi="Calibri" w:cs="Calibri"/>
                <w:sz w:val="16"/>
                <w:szCs w:val="16"/>
              </w:rPr>
              <w:t xml:space="preserve"> CMS Business School, </w:t>
            </w:r>
          </w:p>
          <w:p w14:paraId="466C0603" w14:textId="77777777" w:rsidR="007419B7" w:rsidRPr="00CC3013" w:rsidRDefault="007419B7" w:rsidP="007419B7">
            <w:pPr>
              <w:contextualSpacing/>
              <w:jc w:val="center"/>
              <w:rPr>
                <w:rFonts w:ascii="Calibri" w:hAnsi="Calibri" w:cs="Calibri"/>
                <w:sz w:val="16"/>
                <w:szCs w:val="16"/>
              </w:rPr>
            </w:pPr>
            <w:r w:rsidRPr="00CC3013">
              <w:rPr>
                <w:rFonts w:ascii="Calibri" w:hAnsi="Calibri" w:cs="Calibri"/>
                <w:sz w:val="16"/>
                <w:szCs w:val="16"/>
              </w:rPr>
              <w:t>JAIN (Deemed-to-be University) Bangalore, India</w:t>
            </w:r>
          </w:p>
        </w:tc>
        <w:tc>
          <w:tcPr>
            <w:tcW w:w="4110" w:type="dxa"/>
          </w:tcPr>
          <w:p w14:paraId="392F7C6E" w14:textId="77777777" w:rsidR="00B364AA" w:rsidRPr="00CC3013" w:rsidRDefault="00B364AA" w:rsidP="00B364AA">
            <w:pPr>
              <w:contextualSpacing/>
              <w:jc w:val="center"/>
              <w:outlineLvl w:val="0"/>
              <w:rPr>
                <w:rFonts w:ascii="Calibri" w:eastAsia="Times New Roman" w:hAnsi="Calibri" w:cs="Calibri"/>
                <w:b/>
                <w:i/>
                <w:iCs/>
                <w:sz w:val="16"/>
                <w:szCs w:val="16"/>
                <w:lang w:eastAsia="en-IN"/>
              </w:rPr>
            </w:pPr>
            <w:r w:rsidRPr="00CC3013">
              <w:rPr>
                <w:rFonts w:ascii="Calibri" w:eastAsia="Times New Roman" w:hAnsi="Calibri" w:cs="Calibri"/>
                <w:b/>
                <w:i/>
                <w:iCs/>
                <w:sz w:val="16"/>
                <w:szCs w:val="16"/>
                <w:lang w:eastAsia="en-IN"/>
              </w:rPr>
              <w:t>Dr. Shipra Agrawal</w:t>
            </w:r>
          </w:p>
          <w:p w14:paraId="6DC54B8B" w14:textId="77777777" w:rsidR="007419B7" w:rsidRPr="00CC3013" w:rsidRDefault="00B364AA" w:rsidP="007419B7">
            <w:pPr>
              <w:contextualSpacing/>
              <w:jc w:val="center"/>
              <w:outlineLvl w:val="0"/>
              <w:rPr>
                <w:rFonts w:ascii="Calibri" w:hAnsi="Calibri" w:cs="Calibri"/>
                <w:sz w:val="16"/>
                <w:szCs w:val="16"/>
              </w:rPr>
            </w:pPr>
            <w:r w:rsidRPr="00CC3013">
              <w:rPr>
                <w:rFonts w:ascii="Calibri" w:hAnsi="Calibri" w:cs="Calibri"/>
                <w:sz w:val="16"/>
                <w:szCs w:val="16"/>
              </w:rPr>
              <w:t>Assistant</w:t>
            </w:r>
            <w:r w:rsidR="007419B7" w:rsidRPr="00CC3013">
              <w:rPr>
                <w:rFonts w:ascii="Calibri" w:hAnsi="Calibri" w:cs="Calibri"/>
                <w:sz w:val="16"/>
                <w:szCs w:val="16"/>
              </w:rPr>
              <w:t xml:space="preserve"> Professor, Faculty of Management</w:t>
            </w:r>
            <w:r w:rsidR="005161E0" w:rsidRPr="00CC3013">
              <w:rPr>
                <w:rFonts w:ascii="Calibri" w:hAnsi="Calibri" w:cs="Calibri"/>
                <w:sz w:val="16"/>
                <w:szCs w:val="16"/>
              </w:rPr>
              <w:t xml:space="preserve"> </w:t>
            </w:r>
            <w:r w:rsidR="007419B7" w:rsidRPr="00CC3013">
              <w:rPr>
                <w:rFonts w:ascii="Calibri" w:hAnsi="Calibri" w:cs="Calibri"/>
                <w:sz w:val="16"/>
                <w:szCs w:val="16"/>
              </w:rPr>
              <w:t xml:space="preserve">Studies, </w:t>
            </w:r>
          </w:p>
          <w:p w14:paraId="44F00D8E" w14:textId="77777777" w:rsidR="007419B7" w:rsidRPr="00CC3013" w:rsidRDefault="007419B7" w:rsidP="007419B7">
            <w:pPr>
              <w:contextualSpacing/>
              <w:jc w:val="center"/>
              <w:outlineLvl w:val="0"/>
              <w:rPr>
                <w:rFonts w:ascii="Calibri" w:hAnsi="Calibri" w:cs="Calibri"/>
                <w:sz w:val="16"/>
                <w:szCs w:val="16"/>
              </w:rPr>
            </w:pPr>
            <w:r w:rsidRPr="00CC3013">
              <w:rPr>
                <w:rFonts w:ascii="Calibri" w:hAnsi="Calibri" w:cs="Calibri"/>
                <w:sz w:val="16"/>
                <w:szCs w:val="16"/>
              </w:rPr>
              <w:t xml:space="preserve">CMS Business School, </w:t>
            </w:r>
          </w:p>
          <w:p w14:paraId="4844D661" w14:textId="77777777" w:rsidR="007419B7" w:rsidRPr="00CC3013" w:rsidRDefault="007419B7" w:rsidP="007419B7">
            <w:pPr>
              <w:contextualSpacing/>
              <w:jc w:val="center"/>
              <w:outlineLvl w:val="0"/>
              <w:rPr>
                <w:rFonts w:ascii="Calibri" w:hAnsi="Calibri" w:cs="Calibri"/>
                <w:sz w:val="16"/>
                <w:szCs w:val="16"/>
              </w:rPr>
            </w:pPr>
            <w:r w:rsidRPr="00CC3013">
              <w:rPr>
                <w:rFonts w:ascii="Calibri" w:hAnsi="Calibri" w:cs="Calibri"/>
                <w:sz w:val="16"/>
                <w:szCs w:val="16"/>
              </w:rPr>
              <w:t xml:space="preserve">JAIN (Deemed-to-be University) Bangalore, India. </w:t>
            </w:r>
          </w:p>
        </w:tc>
      </w:tr>
    </w:tbl>
    <w:p w14:paraId="3E9F2F5C" w14:textId="77777777" w:rsidR="007419B7" w:rsidRPr="00B364AA" w:rsidRDefault="007419B7" w:rsidP="00C05C58">
      <w:pPr>
        <w:spacing w:after="0"/>
        <w:jc w:val="center"/>
        <w:rPr>
          <w:rFonts w:ascii="Arial" w:hAnsi="Arial" w:cs="Arial"/>
          <w:b/>
          <w:sz w:val="28"/>
        </w:rPr>
      </w:pPr>
    </w:p>
    <w:p w14:paraId="7BE8BCC7" w14:textId="77777777" w:rsidR="00C05C58" w:rsidRPr="00CC3013" w:rsidRDefault="00C05C58" w:rsidP="00CC3013">
      <w:pPr>
        <w:spacing w:after="120" w:line="240" w:lineRule="auto"/>
        <w:jc w:val="center"/>
        <w:rPr>
          <w:rFonts w:ascii="Arial" w:hAnsi="Arial" w:cs="Arial"/>
          <w:b/>
          <w:i/>
          <w:iCs/>
          <w:sz w:val="18"/>
          <w:szCs w:val="18"/>
        </w:rPr>
      </w:pPr>
      <w:r w:rsidRPr="00CC3013">
        <w:rPr>
          <w:rFonts w:ascii="Arial" w:hAnsi="Arial" w:cs="Arial"/>
          <w:b/>
          <w:i/>
          <w:iCs/>
          <w:sz w:val="18"/>
          <w:szCs w:val="18"/>
        </w:rPr>
        <w:t>Abstract</w:t>
      </w:r>
    </w:p>
    <w:p w14:paraId="2A9F0EC3" w14:textId="77777777" w:rsidR="00B364AA" w:rsidRPr="00B364AA" w:rsidRDefault="00B364AA" w:rsidP="00CC3013">
      <w:pPr>
        <w:spacing w:after="120" w:line="240" w:lineRule="auto"/>
        <w:ind w:left="426" w:right="425"/>
        <w:jc w:val="both"/>
        <w:rPr>
          <w:rFonts w:ascii="Arial" w:hAnsi="Arial" w:cs="Arial"/>
          <w:sz w:val="18"/>
          <w:szCs w:val="18"/>
        </w:rPr>
      </w:pPr>
      <w:r w:rsidRPr="00B364AA">
        <w:rPr>
          <w:rFonts w:ascii="Arial" w:hAnsi="Arial" w:cs="Arial"/>
          <w:sz w:val="18"/>
          <w:szCs w:val="18"/>
        </w:rPr>
        <w:t>The HR consulting sector is increasingly shaped by digital transformation, yet small and mid-sized firms often struggle to integrate technology into their core recruitment and talent-management workflows. This case examines BRYDGE HR Consulting, a boutique recruitment firm facing operational inefficiencies arising from manual processes, fragmented data systems, and limited digital capability. Key challenges included manual resume screening, non-centralized candidate tracking, delayed reporting, and scalability constraints. Through an analysis of the firm’s attempt to adopt Applicant Tracking Systems (ATS), HRMS platforms, and analytics dashboards, the case highlights how structured digital integration can reduce screening time, enhance data accuracy, accelerate recruitment cycles, and improve client satisfaction. The study frames technology adoption as both an operational and behavioural challenge, requiring phased implementation, employee training, and evidence-based decision-making. The findings reinforce existing literature on digital HR transformation, demonstrating that streamlined workflows, automation, and centralized data governance are essential for HR consulting firms seeking scalability, financial efficiency, and competitive advantage.</w:t>
      </w:r>
    </w:p>
    <w:p w14:paraId="33061B0B" w14:textId="77777777" w:rsidR="00B364AA" w:rsidRPr="00B364AA" w:rsidRDefault="00B364AA" w:rsidP="00CC3013">
      <w:pPr>
        <w:spacing w:after="120" w:line="240" w:lineRule="auto"/>
        <w:ind w:left="426" w:right="425"/>
        <w:jc w:val="both"/>
        <w:rPr>
          <w:rFonts w:ascii="Arial" w:hAnsi="Arial" w:cs="Arial"/>
          <w:sz w:val="18"/>
          <w:szCs w:val="18"/>
        </w:rPr>
      </w:pPr>
      <w:r w:rsidRPr="00B364AA">
        <w:rPr>
          <w:rFonts w:ascii="Arial" w:hAnsi="Arial" w:cs="Arial"/>
          <w:b/>
          <w:sz w:val="18"/>
          <w:szCs w:val="18"/>
        </w:rPr>
        <w:t>Keywords</w:t>
      </w:r>
      <w:r w:rsidRPr="00B364AA">
        <w:rPr>
          <w:rFonts w:ascii="Arial" w:hAnsi="Arial" w:cs="Arial"/>
          <w:sz w:val="18"/>
          <w:szCs w:val="18"/>
        </w:rPr>
        <w:t>: HR consulting, Digital integration, Applicant Tracking System, Recruitment automation, Data governance, Talent management technology, Workflow optimisation, Scalability in HR services.</w:t>
      </w:r>
    </w:p>
    <w:p w14:paraId="0C48446C" w14:textId="77777777" w:rsidR="004D6777" w:rsidRDefault="004D6777" w:rsidP="0049568C">
      <w:pPr>
        <w:jc w:val="center"/>
        <w:rPr>
          <w:rFonts w:ascii="Arial" w:hAnsi="Arial" w:cs="Arial"/>
          <w:b/>
        </w:rPr>
      </w:pPr>
    </w:p>
    <w:p w14:paraId="4B75AB64" w14:textId="77777777" w:rsidR="004D6777" w:rsidRDefault="004D6777" w:rsidP="0049568C">
      <w:pPr>
        <w:jc w:val="center"/>
        <w:rPr>
          <w:rFonts w:ascii="Arial" w:hAnsi="Arial" w:cs="Arial"/>
          <w:b/>
        </w:rPr>
        <w:sectPr w:rsidR="004D6777" w:rsidSect="00D9440D">
          <w:headerReference w:type="even" r:id="rId8"/>
          <w:headerReference w:type="default" r:id="rId9"/>
          <w:type w:val="continuous"/>
          <w:pgSz w:w="11906" w:h="16838" w:code="9"/>
          <w:pgMar w:top="1440" w:right="1440" w:bottom="1440" w:left="1440" w:header="1008" w:footer="706" w:gutter="0"/>
          <w:pgNumType w:start="64"/>
          <w:cols w:space="708"/>
          <w:docGrid w:linePitch="360"/>
        </w:sectPr>
      </w:pPr>
    </w:p>
    <w:p w14:paraId="7C3CF217" w14:textId="77777777" w:rsidR="00B364AA" w:rsidRPr="004D6777" w:rsidRDefault="00D9440D" w:rsidP="004D6777">
      <w:pPr>
        <w:spacing w:after="120" w:line="276" w:lineRule="auto"/>
        <w:jc w:val="center"/>
        <w:rPr>
          <w:rFonts w:ascii="Arial" w:hAnsi="Arial" w:cs="Arial"/>
          <w:b/>
          <w:caps/>
        </w:rPr>
      </w:pPr>
      <w:r w:rsidRPr="004D6777">
        <w:rPr>
          <w:rFonts w:ascii="Arial" w:hAnsi="Arial" w:cs="Arial"/>
          <w:b/>
          <w:caps/>
        </w:rPr>
        <w:t xml:space="preserve">   </w:t>
      </w:r>
      <w:r w:rsidR="00B364AA" w:rsidRPr="004D6777">
        <w:rPr>
          <w:rFonts w:ascii="Arial" w:hAnsi="Arial" w:cs="Arial"/>
          <w:b/>
          <w:caps/>
        </w:rPr>
        <w:t>Introduction</w:t>
      </w:r>
    </w:p>
    <w:p w14:paraId="49206998" w14:textId="77777777" w:rsidR="00B364AA" w:rsidRPr="004D6777" w:rsidRDefault="00B364AA" w:rsidP="004D6777">
      <w:pPr>
        <w:spacing w:after="120" w:line="276" w:lineRule="auto"/>
        <w:ind w:firstLine="720"/>
        <w:jc w:val="both"/>
        <w:rPr>
          <w:rFonts w:ascii="Arial" w:hAnsi="Arial" w:cs="Arial"/>
        </w:rPr>
      </w:pPr>
      <w:r w:rsidRPr="004D6777">
        <w:rPr>
          <w:rFonts w:ascii="Arial" w:hAnsi="Arial" w:cs="Arial"/>
        </w:rPr>
        <w:t xml:space="preserve">The HR consulting and talent-management sector has undergone rapid digital transformation, shifting from traditional, manually driven recruitment processes to technology-supported workflows that emphasize speed, accuracy, and data-driven decision-making. Boutique consulting firms, however, often face structural and resource limitations that hinder seamless adoption of modern HR technologies such as Applicant Tracking Systems (ATS), Human Resource Management Systems (HRMS), and analytics dashboards. BRYDGE HR Consulting exemplifies this challenge. Despite offering comprehensive recruitment and advisory services to SMEs and startups, the firm encountered growing operational inefficiencies stemming from scattered job postings, manual resume screening, fragmented candidate information, and delays in generating </w:t>
      </w:r>
      <w:r w:rsidRPr="004D6777">
        <w:rPr>
          <w:rFonts w:ascii="Arial" w:hAnsi="Arial" w:cs="Arial"/>
        </w:rPr>
        <w:t>recruitment reports. As the firm expanded its client base, these issues became more pronounced, affecting cycle time, data reliability, and overall service quality. The decision to pursue digital adoption emerged from a need to optimise processes, enhance staff productivity, and meet rising client expectations for timely, accurate, and scalable HR solutions. Existing research on HR technology indicates that digital workflows significantly strengthen operational performance and reduce manual workload, but successful implementation also requires structured planning, system integration, and change management. This case situates BRYDGE’s experience within this broader discourse, exploring the operational, behavioural, and financial implications of digital integration in a growing HR consulting environment.</w:t>
      </w:r>
    </w:p>
    <w:p w14:paraId="7B7FD531" w14:textId="77777777" w:rsidR="004D6777" w:rsidRDefault="004D6777" w:rsidP="004D6777">
      <w:pPr>
        <w:spacing w:after="120" w:line="276" w:lineRule="auto"/>
        <w:jc w:val="center"/>
        <w:rPr>
          <w:rFonts w:ascii="Arial" w:hAnsi="Arial" w:cs="Arial"/>
          <w:b/>
        </w:rPr>
      </w:pPr>
    </w:p>
    <w:p w14:paraId="7222A4FF" w14:textId="77777777" w:rsidR="004D6777" w:rsidRDefault="004D6777" w:rsidP="004D6777">
      <w:pPr>
        <w:spacing w:after="120" w:line="276" w:lineRule="auto"/>
        <w:jc w:val="center"/>
        <w:rPr>
          <w:rFonts w:ascii="Arial" w:hAnsi="Arial" w:cs="Arial"/>
          <w:b/>
        </w:rPr>
      </w:pPr>
    </w:p>
    <w:p w14:paraId="3620AF91" w14:textId="77777777" w:rsidR="00B364AA" w:rsidRPr="004D6777" w:rsidRDefault="00B364AA" w:rsidP="004D6777">
      <w:pPr>
        <w:spacing w:after="120" w:line="276" w:lineRule="auto"/>
        <w:jc w:val="center"/>
        <w:rPr>
          <w:rFonts w:ascii="Arial" w:hAnsi="Arial" w:cs="Arial"/>
          <w:b/>
          <w:caps/>
        </w:rPr>
      </w:pPr>
      <w:r w:rsidRPr="004D6777">
        <w:rPr>
          <w:rFonts w:ascii="Arial" w:hAnsi="Arial" w:cs="Arial"/>
          <w:b/>
          <w:caps/>
        </w:rPr>
        <w:lastRenderedPageBreak/>
        <w:t>Industry Context</w:t>
      </w:r>
    </w:p>
    <w:p w14:paraId="1EFC1AEE" w14:textId="77777777" w:rsidR="00B364AA" w:rsidRPr="004D6777" w:rsidRDefault="00B364AA" w:rsidP="004D6777">
      <w:pPr>
        <w:spacing w:after="120" w:line="276" w:lineRule="auto"/>
        <w:ind w:firstLine="720"/>
        <w:jc w:val="both"/>
        <w:rPr>
          <w:rFonts w:ascii="Arial" w:hAnsi="Arial" w:cs="Arial"/>
        </w:rPr>
      </w:pPr>
      <w:r w:rsidRPr="004D6777">
        <w:rPr>
          <w:rFonts w:ascii="Arial" w:hAnsi="Arial" w:cs="Arial"/>
        </w:rPr>
        <w:t>The HR consulting industry plays a strategic role in helping organisations manage talent acquisition, workforce planning, compliance, and employee lifecycle processes. Over the last decade, the sector has evolved from being primarily administrative to becoming a strategic partner in organisational development. This shift is driven by rising competition for skilled talent, the proliferation of digital tools, and the increasing demand for data-backed insights. Technologies such as ATS, HRMS, AI-driven resume screening, candidate assessment platforms, and predictive analytics have become essential for managing recruitment workflows efficiently at scale. The adoption of such technologies is uneven across the industry. While established consulting firms deploy fully integrated digital ecosystems, many small and emerging firms rely on spreadsheets, emails, and manual coordination for candidate sourcing and tracking. This reliance leads to data fragmentation, inconsistent documentation, and avoidable delays in the hiring process. Furthermore, rapid advancements in HR tech—ranging from automation to conversational AI require continuous adaptation and upskilling, placing additional strain on resource-constrained firms. Academic literature suggests that digital maturity directly influences the quality of recruitment outcomes, client satisfaction, and the ability to scale operations. Firms with integrated HR systems experience improved accuracy in data handling, faster time-to-hire, reduced operational costs, and better reporting transparency. In this context, BRYDGE HR Consulting’s challenges reflect broader industry dynamics where digital readiness determines competitiveness, scalability, and long-term sustainability.</w:t>
      </w:r>
    </w:p>
    <w:p w14:paraId="48A1DA5A" w14:textId="77777777" w:rsidR="004D6777" w:rsidRDefault="004D6777" w:rsidP="004D6777">
      <w:pPr>
        <w:spacing w:after="120" w:line="276" w:lineRule="auto"/>
        <w:jc w:val="center"/>
        <w:rPr>
          <w:rFonts w:ascii="Arial" w:hAnsi="Arial" w:cs="Arial"/>
          <w:b/>
          <w:caps/>
        </w:rPr>
      </w:pPr>
    </w:p>
    <w:p w14:paraId="044289E3" w14:textId="77777777" w:rsidR="00B364AA" w:rsidRPr="004D6777" w:rsidRDefault="00B364AA" w:rsidP="004D6777">
      <w:pPr>
        <w:spacing w:after="120" w:line="276" w:lineRule="auto"/>
        <w:jc w:val="center"/>
        <w:rPr>
          <w:rFonts w:ascii="Arial" w:hAnsi="Arial" w:cs="Arial"/>
          <w:b/>
          <w:caps/>
        </w:rPr>
      </w:pPr>
      <w:r w:rsidRPr="004D6777">
        <w:rPr>
          <w:rFonts w:ascii="Arial" w:hAnsi="Arial" w:cs="Arial"/>
          <w:b/>
          <w:caps/>
        </w:rPr>
        <w:t>About the Company</w:t>
      </w:r>
    </w:p>
    <w:p w14:paraId="07B07F1E" w14:textId="77777777" w:rsidR="00B364AA" w:rsidRPr="004D6777" w:rsidRDefault="00B364AA" w:rsidP="004D6777">
      <w:pPr>
        <w:spacing w:after="120" w:line="276" w:lineRule="auto"/>
        <w:ind w:firstLine="720"/>
        <w:jc w:val="both"/>
        <w:rPr>
          <w:rFonts w:ascii="Arial" w:hAnsi="Arial" w:cs="Arial"/>
        </w:rPr>
      </w:pPr>
      <w:r w:rsidRPr="004D6777">
        <w:rPr>
          <w:rFonts w:ascii="Arial" w:hAnsi="Arial" w:cs="Arial"/>
        </w:rPr>
        <w:t>BRYDGE HR Consulting is a boutique HR solutions provider specializing in recruitment, staffing, and advisory services for startups, SMEs, and emerging businesses. The firm delivers end-to-end hiring support ranging from job requirement analysis and sourcing to interview coordination and placement management. As a growing consulting startup, BRYDGE positioned itself as a partner capable of offering personalized and responsive talent solutions tailored to client needs. The company’s operational backbone relied heavily on manual workflows. Candidate sourcing was spread across multiple job portals, resumes were screened manually, interview coordination was conducted via calls and emails, and reporting required several days of spreadsheet consolidation. As business volume increased, these manual processes posed risks to accuracy, timeliness, and service consistency. Recognizing that technology adoption was critical for scalability and long-term competitiveness, BRYDGE initiated a transition toward structured digital integration, focusing on ATS implementation, HRMS deployment, and analytics-driven reporting.</w:t>
      </w:r>
    </w:p>
    <w:p w14:paraId="1909577A" w14:textId="77777777" w:rsidR="00B364AA" w:rsidRPr="004D6777" w:rsidRDefault="00B364AA" w:rsidP="004D6777">
      <w:pPr>
        <w:spacing w:after="120" w:line="276" w:lineRule="auto"/>
        <w:jc w:val="center"/>
        <w:rPr>
          <w:rFonts w:ascii="Arial" w:hAnsi="Arial" w:cs="Arial"/>
          <w:b/>
          <w:caps/>
        </w:rPr>
      </w:pPr>
      <w:r w:rsidRPr="004D6777">
        <w:rPr>
          <w:rFonts w:ascii="Arial" w:hAnsi="Arial" w:cs="Arial"/>
          <w:b/>
          <w:caps/>
        </w:rPr>
        <w:t>Problems in the Industry</w:t>
      </w:r>
    </w:p>
    <w:p w14:paraId="166D91EE" w14:textId="77777777" w:rsidR="00B364AA" w:rsidRPr="004D6777" w:rsidRDefault="00B364AA" w:rsidP="004D6777">
      <w:pPr>
        <w:spacing w:after="120" w:line="276" w:lineRule="auto"/>
        <w:ind w:firstLine="720"/>
        <w:jc w:val="both"/>
        <w:rPr>
          <w:rFonts w:ascii="Arial" w:hAnsi="Arial" w:cs="Arial"/>
        </w:rPr>
      </w:pPr>
      <w:r w:rsidRPr="004D6777">
        <w:rPr>
          <w:rFonts w:ascii="Arial" w:hAnsi="Arial" w:cs="Arial"/>
        </w:rPr>
        <w:t>The HR consulting industry, particularly within the small and mid-sized segment, faces persistent challenges due to uneven digital maturity and fragmented operational systems. Key issues include:</w:t>
      </w:r>
    </w:p>
    <w:p w14:paraId="04840A31" w14:textId="77777777" w:rsidR="00B364AA" w:rsidRPr="004D6777" w:rsidRDefault="00B364AA" w:rsidP="004D6777">
      <w:pPr>
        <w:pStyle w:val="ListParagraph"/>
        <w:numPr>
          <w:ilvl w:val="0"/>
          <w:numId w:val="7"/>
        </w:numPr>
        <w:spacing w:after="120" w:line="276" w:lineRule="auto"/>
        <w:ind w:left="450"/>
        <w:contextualSpacing w:val="0"/>
        <w:jc w:val="both"/>
        <w:rPr>
          <w:rFonts w:ascii="Arial" w:hAnsi="Arial" w:cs="Arial"/>
        </w:rPr>
      </w:pPr>
      <w:r w:rsidRPr="004D6777">
        <w:rPr>
          <w:rFonts w:ascii="Arial" w:hAnsi="Arial" w:cs="Arial"/>
        </w:rPr>
        <w:t>High dependence on manual recruitment workflows, which increases time-to-hire, introduces errors, and reduces operational efficiency.</w:t>
      </w:r>
    </w:p>
    <w:p w14:paraId="5887AC27" w14:textId="77777777" w:rsidR="00B364AA" w:rsidRPr="004D6777" w:rsidRDefault="00B364AA" w:rsidP="004D6777">
      <w:pPr>
        <w:pStyle w:val="ListParagraph"/>
        <w:numPr>
          <w:ilvl w:val="0"/>
          <w:numId w:val="7"/>
        </w:numPr>
        <w:spacing w:after="120" w:line="276" w:lineRule="auto"/>
        <w:ind w:left="450"/>
        <w:contextualSpacing w:val="0"/>
        <w:jc w:val="both"/>
        <w:rPr>
          <w:rFonts w:ascii="Arial" w:hAnsi="Arial" w:cs="Arial"/>
        </w:rPr>
      </w:pPr>
      <w:r w:rsidRPr="004D6777">
        <w:rPr>
          <w:rFonts w:ascii="Arial" w:hAnsi="Arial" w:cs="Arial"/>
        </w:rPr>
        <w:t>Lack of integrated HR technology, where ATS, HRMS, sourcing platforms, and analytics tools operate in silos, limiting data visibility and process standardization.</w:t>
      </w:r>
    </w:p>
    <w:p w14:paraId="67E43067" w14:textId="77777777" w:rsidR="00B364AA" w:rsidRPr="004D6777" w:rsidRDefault="00B364AA" w:rsidP="004D6777">
      <w:pPr>
        <w:pStyle w:val="ListParagraph"/>
        <w:numPr>
          <w:ilvl w:val="0"/>
          <w:numId w:val="7"/>
        </w:numPr>
        <w:spacing w:after="120" w:line="276" w:lineRule="auto"/>
        <w:ind w:left="450"/>
        <w:contextualSpacing w:val="0"/>
        <w:jc w:val="both"/>
        <w:rPr>
          <w:rFonts w:ascii="Arial" w:hAnsi="Arial" w:cs="Arial"/>
        </w:rPr>
      </w:pPr>
      <w:r w:rsidRPr="004D6777">
        <w:rPr>
          <w:rFonts w:ascii="Arial" w:hAnsi="Arial" w:cs="Arial"/>
        </w:rPr>
        <w:lastRenderedPageBreak/>
        <w:t>Data fragmentation, resulting from the use of spreadsheets, emails, and multiple job portals, leading to lost candidate information and inconsistent documentation.</w:t>
      </w:r>
    </w:p>
    <w:p w14:paraId="3821D043" w14:textId="77777777" w:rsidR="00B364AA" w:rsidRPr="004D6777" w:rsidRDefault="00B364AA" w:rsidP="004D6777">
      <w:pPr>
        <w:pStyle w:val="ListParagraph"/>
        <w:numPr>
          <w:ilvl w:val="0"/>
          <w:numId w:val="7"/>
        </w:numPr>
        <w:spacing w:after="120" w:line="276" w:lineRule="auto"/>
        <w:ind w:left="450"/>
        <w:contextualSpacing w:val="0"/>
        <w:jc w:val="both"/>
        <w:rPr>
          <w:rFonts w:ascii="Arial" w:hAnsi="Arial" w:cs="Arial"/>
        </w:rPr>
      </w:pPr>
      <w:r w:rsidRPr="004D6777">
        <w:rPr>
          <w:rFonts w:ascii="Arial" w:hAnsi="Arial" w:cs="Arial"/>
        </w:rPr>
        <w:t>Low scalability of traditional systems, making it difficult for firms to handle large recruitment volumes during peak hiring cycles.</w:t>
      </w:r>
    </w:p>
    <w:p w14:paraId="043F62F3" w14:textId="77777777" w:rsidR="00B364AA" w:rsidRPr="004D6777" w:rsidRDefault="00B364AA" w:rsidP="004D6777">
      <w:pPr>
        <w:pStyle w:val="ListParagraph"/>
        <w:numPr>
          <w:ilvl w:val="0"/>
          <w:numId w:val="7"/>
        </w:numPr>
        <w:spacing w:after="120" w:line="276" w:lineRule="auto"/>
        <w:ind w:left="450"/>
        <w:contextualSpacing w:val="0"/>
        <w:jc w:val="both"/>
        <w:rPr>
          <w:rFonts w:ascii="Arial" w:hAnsi="Arial" w:cs="Arial"/>
        </w:rPr>
      </w:pPr>
      <w:r w:rsidRPr="004D6777">
        <w:rPr>
          <w:rFonts w:ascii="Arial" w:hAnsi="Arial" w:cs="Arial"/>
        </w:rPr>
        <w:t>Rapid technological advancements, which require continuous investment, upskilling, and adaptation—difficult for firms with limited budgets or technical expertise.</w:t>
      </w:r>
    </w:p>
    <w:p w14:paraId="0EC3B822" w14:textId="77777777" w:rsidR="00B364AA" w:rsidRPr="004D6777" w:rsidRDefault="00B364AA" w:rsidP="004D6777">
      <w:pPr>
        <w:pStyle w:val="ListParagraph"/>
        <w:numPr>
          <w:ilvl w:val="0"/>
          <w:numId w:val="7"/>
        </w:numPr>
        <w:spacing w:after="120" w:line="276" w:lineRule="auto"/>
        <w:ind w:left="450"/>
        <w:contextualSpacing w:val="0"/>
        <w:jc w:val="both"/>
        <w:rPr>
          <w:rFonts w:ascii="Arial" w:hAnsi="Arial" w:cs="Arial"/>
        </w:rPr>
      </w:pPr>
      <w:r w:rsidRPr="004D6777">
        <w:rPr>
          <w:rFonts w:ascii="Arial" w:hAnsi="Arial" w:cs="Arial"/>
        </w:rPr>
        <w:t>Resistance to technology, especially among employees accustomed to manual systems, which slows implementation and reduces adoption effectiveness.</w:t>
      </w:r>
    </w:p>
    <w:p w14:paraId="057B9824" w14:textId="77777777" w:rsidR="00B364AA" w:rsidRPr="004D6777" w:rsidRDefault="00B364AA" w:rsidP="004D6777">
      <w:pPr>
        <w:spacing w:after="120" w:line="276" w:lineRule="auto"/>
        <w:ind w:firstLine="450"/>
        <w:jc w:val="both"/>
        <w:rPr>
          <w:rFonts w:ascii="Arial" w:hAnsi="Arial" w:cs="Arial"/>
        </w:rPr>
      </w:pPr>
      <w:r w:rsidRPr="004D6777">
        <w:rPr>
          <w:rFonts w:ascii="Arial" w:hAnsi="Arial" w:cs="Arial"/>
        </w:rPr>
        <w:t>These systemic industry challenges create operational bottlenecks and hinder the ability of HR consulting firms to deliver fast, accurate, and insight-driven services—capabilities that clients increasingly expect.</w:t>
      </w:r>
    </w:p>
    <w:p w14:paraId="718861DC" w14:textId="77777777" w:rsidR="00B364AA" w:rsidRPr="004D6777" w:rsidRDefault="00B364AA" w:rsidP="004D6777">
      <w:pPr>
        <w:spacing w:after="120" w:line="276" w:lineRule="auto"/>
        <w:jc w:val="center"/>
        <w:rPr>
          <w:rFonts w:ascii="Arial" w:hAnsi="Arial" w:cs="Arial"/>
          <w:b/>
        </w:rPr>
      </w:pPr>
      <w:r w:rsidRPr="004D6777">
        <w:rPr>
          <w:rFonts w:ascii="Arial" w:hAnsi="Arial" w:cs="Arial"/>
          <w:b/>
        </w:rPr>
        <w:t>Problems Faced by BRYDGE HR Consulting</w:t>
      </w:r>
    </w:p>
    <w:p w14:paraId="181F2B63" w14:textId="77777777" w:rsidR="00B364AA" w:rsidRPr="004D6777" w:rsidRDefault="00B364AA" w:rsidP="004D6777">
      <w:pPr>
        <w:spacing w:after="120" w:line="276" w:lineRule="auto"/>
        <w:ind w:firstLine="720"/>
        <w:jc w:val="both"/>
        <w:rPr>
          <w:rFonts w:ascii="Arial" w:hAnsi="Arial" w:cs="Arial"/>
        </w:rPr>
      </w:pPr>
      <w:r w:rsidRPr="004D6777">
        <w:rPr>
          <w:rFonts w:ascii="Arial" w:hAnsi="Arial" w:cs="Arial"/>
        </w:rPr>
        <w:t>BRYDGE HR Consulting experienced a combination of operational inefficiencies and digital readiness gaps that mirrored broader industry challenges. Key problems included:</w:t>
      </w:r>
    </w:p>
    <w:p w14:paraId="7ED02F2E" w14:textId="77777777" w:rsidR="00B364AA" w:rsidRPr="004D6777" w:rsidRDefault="00B364AA" w:rsidP="004D6777">
      <w:pPr>
        <w:pStyle w:val="ListParagraph"/>
        <w:numPr>
          <w:ilvl w:val="0"/>
          <w:numId w:val="8"/>
        </w:numPr>
        <w:spacing w:after="120" w:line="276" w:lineRule="auto"/>
        <w:ind w:left="540"/>
        <w:contextualSpacing w:val="0"/>
        <w:jc w:val="both"/>
        <w:rPr>
          <w:rFonts w:ascii="Arial" w:hAnsi="Arial" w:cs="Arial"/>
        </w:rPr>
      </w:pPr>
      <w:r w:rsidRPr="004D6777">
        <w:rPr>
          <w:rFonts w:ascii="Arial" w:hAnsi="Arial" w:cs="Arial"/>
        </w:rPr>
        <w:t>Time-intensive resume screening, where manually reviewing 50 resumes required 3–4 hours, reducing team productivity.</w:t>
      </w:r>
    </w:p>
    <w:p w14:paraId="13AEFD16" w14:textId="77777777" w:rsidR="00B364AA" w:rsidRPr="004D6777" w:rsidRDefault="00B364AA" w:rsidP="004D6777">
      <w:pPr>
        <w:pStyle w:val="ListParagraph"/>
        <w:numPr>
          <w:ilvl w:val="0"/>
          <w:numId w:val="8"/>
        </w:numPr>
        <w:spacing w:after="120" w:line="276" w:lineRule="auto"/>
        <w:ind w:left="540"/>
        <w:contextualSpacing w:val="0"/>
        <w:jc w:val="both"/>
        <w:rPr>
          <w:rFonts w:ascii="Arial" w:hAnsi="Arial" w:cs="Arial"/>
        </w:rPr>
      </w:pPr>
      <w:r w:rsidRPr="004D6777">
        <w:rPr>
          <w:rFonts w:ascii="Arial" w:hAnsi="Arial" w:cs="Arial"/>
        </w:rPr>
        <w:t>Disorganized job postings, spread across platforms without centralized tracking, limiting visibility into sourcing efficiency.</w:t>
      </w:r>
    </w:p>
    <w:p w14:paraId="3B2FF4C2" w14:textId="77777777" w:rsidR="00B364AA" w:rsidRPr="004D6777" w:rsidRDefault="00B364AA" w:rsidP="004D6777">
      <w:pPr>
        <w:pStyle w:val="ListParagraph"/>
        <w:numPr>
          <w:ilvl w:val="0"/>
          <w:numId w:val="8"/>
        </w:numPr>
        <w:spacing w:after="120" w:line="276" w:lineRule="auto"/>
        <w:ind w:left="540"/>
        <w:contextualSpacing w:val="0"/>
        <w:jc w:val="both"/>
        <w:rPr>
          <w:rFonts w:ascii="Arial" w:hAnsi="Arial" w:cs="Arial"/>
        </w:rPr>
      </w:pPr>
      <w:r w:rsidRPr="004D6777">
        <w:rPr>
          <w:rFonts w:ascii="Arial" w:hAnsi="Arial" w:cs="Arial"/>
        </w:rPr>
        <w:t>Manual candidate tracking, relying on Excel sheets that were prone to errors, duplication, and data loss.</w:t>
      </w:r>
    </w:p>
    <w:p w14:paraId="39CD800F" w14:textId="77777777" w:rsidR="00B364AA" w:rsidRPr="004D6777" w:rsidRDefault="00B364AA" w:rsidP="004D6777">
      <w:pPr>
        <w:pStyle w:val="ListParagraph"/>
        <w:numPr>
          <w:ilvl w:val="0"/>
          <w:numId w:val="8"/>
        </w:numPr>
        <w:spacing w:after="120" w:line="276" w:lineRule="auto"/>
        <w:ind w:left="540"/>
        <w:contextualSpacing w:val="0"/>
        <w:jc w:val="both"/>
        <w:rPr>
          <w:rFonts w:ascii="Arial" w:hAnsi="Arial" w:cs="Arial"/>
        </w:rPr>
      </w:pPr>
      <w:r w:rsidRPr="004D6777">
        <w:rPr>
          <w:rFonts w:ascii="Arial" w:hAnsi="Arial" w:cs="Arial"/>
        </w:rPr>
        <w:t>Inefficient interview scheduling, involving back-and-forth communication via calls and emails, leading to frequent delays.</w:t>
      </w:r>
    </w:p>
    <w:p w14:paraId="1BB6812A" w14:textId="77777777" w:rsidR="00B364AA" w:rsidRPr="004D6777" w:rsidRDefault="00B364AA" w:rsidP="004D6777">
      <w:pPr>
        <w:pStyle w:val="ListParagraph"/>
        <w:numPr>
          <w:ilvl w:val="0"/>
          <w:numId w:val="8"/>
        </w:numPr>
        <w:spacing w:after="120" w:line="276" w:lineRule="auto"/>
        <w:ind w:left="540"/>
        <w:contextualSpacing w:val="0"/>
        <w:jc w:val="both"/>
        <w:rPr>
          <w:rFonts w:ascii="Arial" w:hAnsi="Arial" w:cs="Arial"/>
        </w:rPr>
      </w:pPr>
      <w:r w:rsidRPr="004D6777">
        <w:rPr>
          <w:rFonts w:ascii="Arial" w:hAnsi="Arial" w:cs="Arial"/>
        </w:rPr>
        <w:t>Delayed reporting, requiring 2–3 days to compile hiring metrics, hindering real-time decision-making.</w:t>
      </w:r>
    </w:p>
    <w:p w14:paraId="4385E733" w14:textId="77777777" w:rsidR="00B364AA" w:rsidRPr="004D6777" w:rsidRDefault="00B364AA" w:rsidP="004D6777">
      <w:pPr>
        <w:pStyle w:val="ListParagraph"/>
        <w:numPr>
          <w:ilvl w:val="0"/>
          <w:numId w:val="8"/>
        </w:numPr>
        <w:spacing w:after="120" w:line="276" w:lineRule="auto"/>
        <w:ind w:left="540"/>
        <w:contextualSpacing w:val="0"/>
        <w:jc w:val="both"/>
        <w:rPr>
          <w:rFonts w:ascii="Arial" w:hAnsi="Arial" w:cs="Arial"/>
        </w:rPr>
      </w:pPr>
      <w:r w:rsidRPr="004D6777">
        <w:rPr>
          <w:rFonts w:ascii="Arial" w:hAnsi="Arial" w:cs="Arial"/>
        </w:rPr>
        <w:t>Limited scalability, as manual workflows constrained the ability to manage higher recruitment volumes without adding staff.</w:t>
      </w:r>
    </w:p>
    <w:p w14:paraId="03035930" w14:textId="77777777" w:rsidR="00B364AA" w:rsidRPr="004D6777" w:rsidRDefault="00B364AA" w:rsidP="004D6777">
      <w:pPr>
        <w:pStyle w:val="ListParagraph"/>
        <w:numPr>
          <w:ilvl w:val="0"/>
          <w:numId w:val="8"/>
        </w:numPr>
        <w:spacing w:after="120" w:line="276" w:lineRule="auto"/>
        <w:ind w:left="540"/>
        <w:contextualSpacing w:val="0"/>
        <w:jc w:val="both"/>
        <w:rPr>
          <w:rFonts w:ascii="Arial" w:hAnsi="Arial" w:cs="Arial"/>
        </w:rPr>
      </w:pPr>
      <w:r w:rsidRPr="004D6777">
        <w:rPr>
          <w:rFonts w:ascii="Arial" w:hAnsi="Arial" w:cs="Arial"/>
        </w:rPr>
        <w:t>Employee resistance to tech adoption, with staff unfamiliar with ATS and HRMS tools experiencing a learning curve that slowed digital integration.</w:t>
      </w:r>
    </w:p>
    <w:p w14:paraId="328128C1" w14:textId="77777777" w:rsidR="00B364AA" w:rsidRPr="004D6777" w:rsidRDefault="00B364AA" w:rsidP="004D6777">
      <w:pPr>
        <w:spacing w:after="120" w:line="276" w:lineRule="auto"/>
        <w:ind w:firstLine="720"/>
        <w:jc w:val="both"/>
        <w:rPr>
          <w:rFonts w:ascii="Arial" w:hAnsi="Arial" w:cs="Arial"/>
        </w:rPr>
      </w:pPr>
      <w:r w:rsidRPr="004D6777">
        <w:rPr>
          <w:rFonts w:ascii="Arial" w:hAnsi="Arial" w:cs="Arial"/>
        </w:rPr>
        <w:t>These challenges highlighted the need for structured digital transformation, standardized workflows, and strong change management practices to enhance operational efficiency and support BRYDGE’s growth trajectory.</w:t>
      </w:r>
    </w:p>
    <w:p w14:paraId="2005554D" w14:textId="77777777" w:rsidR="00B364AA" w:rsidRPr="004D6777" w:rsidRDefault="00B364AA" w:rsidP="004D6777">
      <w:pPr>
        <w:spacing w:after="120" w:line="276" w:lineRule="auto"/>
        <w:jc w:val="center"/>
        <w:rPr>
          <w:rFonts w:ascii="Arial" w:hAnsi="Arial" w:cs="Arial"/>
          <w:b/>
          <w:caps/>
        </w:rPr>
      </w:pPr>
      <w:r w:rsidRPr="004D6777">
        <w:rPr>
          <w:rFonts w:ascii="Arial" w:hAnsi="Arial" w:cs="Arial"/>
          <w:b/>
          <w:caps/>
        </w:rPr>
        <w:t>Academic Literature Review</w:t>
      </w:r>
    </w:p>
    <w:p w14:paraId="07A625A5" w14:textId="77777777" w:rsidR="00B364AA" w:rsidRPr="004D6777" w:rsidRDefault="00B364AA" w:rsidP="004D6777">
      <w:pPr>
        <w:spacing w:after="120" w:line="276" w:lineRule="auto"/>
        <w:ind w:firstLine="720"/>
        <w:jc w:val="both"/>
        <w:rPr>
          <w:rFonts w:ascii="Arial" w:hAnsi="Arial" w:cs="Arial"/>
        </w:rPr>
      </w:pPr>
      <w:r w:rsidRPr="004D6777">
        <w:rPr>
          <w:rFonts w:ascii="Arial" w:hAnsi="Arial" w:cs="Arial"/>
        </w:rPr>
        <w:t xml:space="preserve">Academic research on HR technology integration highlights significant operational and strategic benefits for consulting firms undergoing digital transformation. Studies emphasize that automation tools particularly Applicant Tracking Systems (ATS) and HRMS platforms—can drastically reduce manual workload, enhance data quality, and strengthen decision-making (Gupta &amp; Singhal, 2020). Literature further notes that fragmented recruitment workflows, when supported by spreadsheets and manual logs, increase the risk of data inconsistencies, reporting delays, and inefficiencies (Mukherjee &amp; Ranjan, 2019). Integrated systems, by contrast, create unified data repositories that enable real-time visibility and improve the accuracy of hiring metrics. Research on digital adoption behaviour stresses that employee resistance often stems from limited </w:t>
      </w:r>
      <w:r w:rsidRPr="004D6777">
        <w:rPr>
          <w:rFonts w:ascii="Arial" w:hAnsi="Arial" w:cs="Arial"/>
        </w:rPr>
        <w:lastRenderedPageBreak/>
        <w:t>technological literacy, unclear implementation roadmaps, and lack of structured training (Davis &amp; Venkatesh, 1996). Successful integration therefore requires a combination of phased rollout, capacity building, and ongoing support. Scholars also argue that predictive analytics and automated dashboards enable HR firms to transition from administrative support roles to strategic partners by offering insights into hiring trends, source effectiveness, and candidate behaviour (</w:t>
      </w:r>
      <w:proofErr w:type="spellStart"/>
      <w:r w:rsidRPr="004D6777">
        <w:rPr>
          <w:rFonts w:ascii="Arial" w:hAnsi="Arial" w:cs="Arial"/>
        </w:rPr>
        <w:t>Meijerink</w:t>
      </w:r>
      <w:proofErr w:type="spellEnd"/>
      <w:r w:rsidRPr="004D6777">
        <w:rPr>
          <w:rFonts w:ascii="Arial" w:hAnsi="Arial" w:cs="Arial"/>
        </w:rPr>
        <w:t xml:space="preserve"> et al., 2021). The literature further suggests that digital readiness directly correlates with organizational scalability. Firms equipped with ATS-driven workflows and automated reporting are able to handle higher candidate volumes without proportionately increasing manpower (Khera &amp; Gulati, 2022). These findings reinforce the relevance of BRYDGE HR Consulting’s challenges, highlighting the importance of system integration, process standardization, and data governance in modern HR consulting environments.</w:t>
      </w:r>
    </w:p>
    <w:p w14:paraId="0BFEE70A" w14:textId="77777777" w:rsidR="00B364AA" w:rsidRPr="004D6777" w:rsidRDefault="00B364AA" w:rsidP="004D6777">
      <w:pPr>
        <w:spacing w:after="120" w:line="276" w:lineRule="auto"/>
        <w:jc w:val="center"/>
        <w:rPr>
          <w:rFonts w:ascii="Arial" w:hAnsi="Arial" w:cs="Arial"/>
          <w:b/>
          <w:caps/>
        </w:rPr>
      </w:pPr>
      <w:r w:rsidRPr="004D6777">
        <w:rPr>
          <w:rFonts w:ascii="Arial" w:hAnsi="Arial" w:cs="Arial"/>
          <w:b/>
          <w:caps/>
        </w:rPr>
        <w:t>Academic Learning</w:t>
      </w:r>
    </w:p>
    <w:p w14:paraId="4CF211AC" w14:textId="77777777" w:rsidR="00B364AA" w:rsidRPr="004D6777" w:rsidRDefault="00B364AA" w:rsidP="004D6777">
      <w:pPr>
        <w:spacing w:after="120" w:line="276" w:lineRule="auto"/>
        <w:ind w:firstLine="720"/>
        <w:jc w:val="both"/>
        <w:rPr>
          <w:rFonts w:ascii="Arial" w:hAnsi="Arial" w:cs="Arial"/>
        </w:rPr>
      </w:pPr>
      <w:r w:rsidRPr="004D6777">
        <w:rPr>
          <w:rFonts w:ascii="Arial" w:hAnsi="Arial" w:cs="Arial"/>
        </w:rPr>
        <w:t>This case provides several key academic learnings that connect theoretical foundations with practical implementation in the HR consulting sector:</w:t>
      </w:r>
    </w:p>
    <w:p w14:paraId="7D9CBF4F" w14:textId="77777777" w:rsidR="00B364AA" w:rsidRPr="004D6777" w:rsidRDefault="00B364AA" w:rsidP="004D6777">
      <w:pPr>
        <w:pStyle w:val="ListParagraph"/>
        <w:numPr>
          <w:ilvl w:val="0"/>
          <w:numId w:val="9"/>
        </w:numPr>
        <w:spacing w:after="120" w:line="276" w:lineRule="auto"/>
        <w:ind w:left="360"/>
        <w:contextualSpacing w:val="0"/>
        <w:jc w:val="both"/>
        <w:rPr>
          <w:rFonts w:ascii="Arial" w:hAnsi="Arial" w:cs="Arial"/>
        </w:rPr>
      </w:pPr>
      <w:r w:rsidRPr="004D6777">
        <w:rPr>
          <w:rFonts w:ascii="Arial" w:hAnsi="Arial" w:cs="Arial"/>
        </w:rPr>
        <w:t>Application of Technology Adoption Theories: Models such as the Technology Acceptance Model (TAM) and Unified Theory of Technology Adoption explain the behavioural and environmental factors influencing staff acceptance of ATS and HRMS tools.</w:t>
      </w:r>
    </w:p>
    <w:p w14:paraId="01643303" w14:textId="77777777" w:rsidR="00B364AA" w:rsidRPr="004D6777" w:rsidRDefault="00B364AA" w:rsidP="004D6777">
      <w:pPr>
        <w:pStyle w:val="ListParagraph"/>
        <w:numPr>
          <w:ilvl w:val="0"/>
          <w:numId w:val="9"/>
        </w:numPr>
        <w:spacing w:after="120" w:line="276" w:lineRule="auto"/>
        <w:ind w:left="360"/>
        <w:contextualSpacing w:val="0"/>
        <w:jc w:val="both"/>
        <w:rPr>
          <w:rFonts w:ascii="Arial" w:hAnsi="Arial" w:cs="Arial"/>
        </w:rPr>
      </w:pPr>
      <w:r w:rsidRPr="004D6777">
        <w:rPr>
          <w:rFonts w:ascii="Arial" w:hAnsi="Arial" w:cs="Arial"/>
        </w:rPr>
        <w:t>Workflow Mapping and Process Re-engineering: Students learn how to redesign manual recruitment activities into systematic, technology-enabled workflows using data centralization, automation rules, and integrated dashboards.</w:t>
      </w:r>
    </w:p>
    <w:p w14:paraId="7C05B08F" w14:textId="77777777" w:rsidR="00B364AA" w:rsidRPr="004D6777" w:rsidRDefault="00B364AA" w:rsidP="004D6777">
      <w:pPr>
        <w:pStyle w:val="ListParagraph"/>
        <w:numPr>
          <w:ilvl w:val="0"/>
          <w:numId w:val="9"/>
        </w:numPr>
        <w:spacing w:after="120" w:line="276" w:lineRule="auto"/>
        <w:ind w:left="360"/>
        <w:contextualSpacing w:val="0"/>
        <w:jc w:val="both"/>
        <w:rPr>
          <w:rFonts w:ascii="Arial" w:hAnsi="Arial" w:cs="Arial"/>
        </w:rPr>
      </w:pPr>
      <w:r w:rsidRPr="004D6777">
        <w:rPr>
          <w:rFonts w:ascii="Arial" w:hAnsi="Arial" w:cs="Arial"/>
        </w:rPr>
        <w:t>Data Governance Principles: The case illustrates how centralizing candidate information within ATS and HRMS systems improves accuracy, reduces errors, and strengthens evidence-based reporting.</w:t>
      </w:r>
    </w:p>
    <w:p w14:paraId="0153602E" w14:textId="77777777" w:rsidR="00B364AA" w:rsidRPr="004D6777" w:rsidRDefault="00B364AA" w:rsidP="004D6777">
      <w:pPr>
        <w:pStyle w:val="ListParagraph"/>
        <w:numPr>
          <w:ilvl w:val="0"/>
          <w:numId w:val="9"/>
        </w:numPr>
        <w:spacing w:after="120" w:line="276" w:lineRule="auto"/>
        <w:ind w:left="360"/>
        <w:contextualSpacing w:val="0"/>
        <w:jc w:val="both"/>
        <w:rPr>
          <w:rFonts w:ascii="Arial" w:hAnsi="Arial" w:cs="Arial"/>
        </w:rPr>
      </w:pPr>
      <w:r w:rsidRPr="004D6777">
        <w:rPr>
          <w:rFonts w:ascii="Arial" w:hAnsi="Arial" w:cs="Arial"/>
        </w:rPr>
        <w:t>Operational Efficiency Metrics: Students gain exposure to quantifying the impact of digital integration through indicators such as time-to-hire, error rates, candidate handling capacity, and reporting cycle time.</w:t>
      </w:r>
    </w:p>
    <w:p w14:paraId="769D77E2" w14:textId="77777777" w:rsidR="00B364AA" w:rsidRPr="004D6777" w:rsidRDefault="00B364AA" w:rsidP="004D6777">
      <w:pPr>
        <w:pStyle w:val="ListParagraph"/>
        <w:numPr>
          <w:ilvl w:val="0"/>
          <w:numId w:val="9"/>
        </w:numPr>
        <w:spacing w:after="120" w:line="276" w:lineRule="auto"/>
        <w:ind w:left="360"/>
        <w:contextualSpacing w:val="0"/>
        <w:jc w:val="both"/>
        <w:rPr>
          <w:rFonts w:ascii="Arial" w:hAnsi="Arial" w:cs="Arial"/>
        </w:rPr>
      </w:pPr>
      <w:r w:rsidRPr="004D6777">
        <w:rPr>
          <w:rFonts w:ascii="Arial" w:hAnsi="Arial" w:cs="Arial"/>
        </w:rPr>
        <w:t>Change Management Strategies: The case highlights the importance of employee training, phased implementation, and communication for successful digital transformation.</w:t>
      </w:r>
    </w:p>
    <w:p w14:paraId="120D1BA2" w14:textId="77777777" w:rsidR="00B364AA" w:rsidRPr="004D6777" w:rsidRDefault="00B364AA" w:rsidP="004D6777">
      <w:pPr>
        <w:pStyle w:val="ListParagraph"/>
        <w:numPr>
          <w:ilvl w:val="0"/>
          <w:numId w:val="9"/>
        </w:numPr>
        <w:spacing w:after="120" w:line="276" w:lineRule="auto"/>
        <w:ind w:left="360"/>
        <w:contextualSpacing w:val="0"/>
        <w:jc w:val="both"/>
        <w:rPr>
          <w:rFonts w:ascii="Arial" w:hAnsi="Arial" w:cs="Arial"/>
        </w:rPr>
      </w:pPr>
      <w:r w:rsidRPr="004D6777">
        <w:rPr>
          <w:rFonts w:ascii="Arial" w:hAnsi="Arial" w:cs="Arial"/>
        </w:rPr>
        <w:t>Financial Analysis of Technology Investments: A cost-benefit perspective demonstrates how technology adoption can generate long-term financial gains by reducing labour hours, improving productivity, and enabling scalability.</w:t>
      </w:r>
    </w:p>
    <w:p w14:paraId="1BE9BE8A" w14:textId="77777777" w:rsidR="00B364AA" w:rsidRPr="004D6777" w:rsidRDefault="00B364AA" w:rsidP="004D6777">
      <w:pPr>
        <w:spacing w:after="120" w:line="276" w:lineRule="auto"/>
        <w:ind w:firstLine="720"/>
        <w:jc w:val="both"/>
        <w:rPr>
          <w:rFonts w:ascii="Arial" w:hAnsi="Arial" w:cs="Arial"/>
        </w:rPr>
      </w:pPr>
      <w:r w:rsidRPr="004D6777">
        <w:rPr>
          <w:rFonts w:ascii="Arial" w:hAnsi="Arial" w:cs="Arial"/>
        </w:rPr>
        <w:t>These learnings equip students with the analytical, technical, and managerial perspectives required to design and evaluate digital transformation initiatives in HR consulting contexts.</w:t>
      </w:r>
    </w:p>
    <w:p w14:paraId="713F7FCF" w14:textId="77777777" w:rsidR="00B364AA" w:rsidRPr="004D6777" w:rsidRDefault="00B364AA" w:rsidP="004D6777">
      <w:pPr>
        <w:spacing w:after="120" w:line="276" w:lineRule="auto"/>
        <w:jc w:val="center"/>
        <w:rPr>
          <w:rFonts w:ascii="Arial" w:hAnsi="Arial" w:cs="Arial"/>
          <w:b/>
          <w:caps/>
        </w:rPr>
      </w:pPr>
      <w:r w:rsidRPr="004D6777">
        <w:rPr>
          <w:rFonts w:ascii="Arial" w:hAnsi="Arial" w:cs="Arial"/>
          <w:b/>
          <w:caps/>
        </w:rPr>
        <w:t>Conclusion</w:t>
      </w:r>
    </w:p>
    <w:p w14:paraId="2C171393" w14:textId="77777777" w:rsidR="00B364AA" w:rsidRPr="004D6777" w:rsidRDefault="00B364AA" w:rsidP="004D6777">
      <w:pPr>
        <w:spacing w:after="120" w:line="276" w:lineRule="auto"/>
        <w:ind w:firstLine="720"/>
        <w:jc w:val="both"/>
        <w:rPr>
          <w:rFonts w:ascii="Arial" w:hAnsi="Arial" w:cs="Arial"/>
        </w:rPr>
      </w:pPr>
      <w:r w:rsidRPr="004D6777">
        <w:rPr>
          <w:rFonts w:ascii="Arial" w:hAnsi="Arial" w:cs="Arial"/>
        </w:rPr>
        <w:t xml:space="preserve">BRYDGE HR Consulting’s experience underscores the transformative potential of technology adoption in a rapidly evolving HR consulting landscape. By shifting from manual resume screening, fragmented data tracking, and delayed reporting to integrated ATS- and HRMS-driven workflows, the firm can significantly enhance operational efficiency, accuracy, and scalability. Automation reduces human error, accelerates recruitment cycles, and allows staff to focus on higher-value tasks such as client engagement and strategic sourcing. The case also reveals that technology integration is not solely a technical exercise it requires careful </w:t>
      </w:r>
      <w:r w:rsidRPr="004D6777">
        <w:rPr>
          <w:rFonts w:ascii="Arial" w:hAnsi="Arial" w:cs="Arial"/>
        </w:rPr>
        <w:lastRenderedPageBreak/>
        <w:t>change management, employee upskilling, and phased implementation to ensure effective usage. Real-time dashboards, automated scheduling, and centralized data repositories strengthen transparency, improve decision-making, and enhance client satisfaction. From a strategic perspective, digital adoption positions BRYDGE as a competitive, future-ready HR consulting partner capable of handling higher candidate volumes and delivering superior recruitment outcomes. This case demonstrates that embracing digital workflows is essential for HR consulting firms seeking sustainable growth, operational consistency, and long-term market relevance. The lessons derived underscore that technology, when implemented thoughtfully, can transform both the efficiency and strategic capability of talent management organizations.</w:t>
      </w:r>
    </w:p>
    <w:p w14:paraId="0C56AD1F" w14:textId="77777777" w:rsidR="00B364AA" w:rsidRPr="004D6777" w:rsidRDefault="00B364AA" w:rsidP="004D6777">
      <w:pPr>
        <w:spacing w:after="120" w:line="276" w:lineRule="auto"/>
        <w:jc w:val="center"/>
        <w:rPr>
          <w:rFonts w:ascii="Arial" w:hAnsi="Arial" w:cs="Arial"/>
          <w:b/>
          <w:caps/>
        </w:rPr>
      </w:pPr>
      <w:r w:rsidRPr="004D6777">
        <w:rPr>
          <w:rFonts w:ascii="Arial" w:hAnsi="Arial" w:cs="Arial"/>
          <w:b/>
          <w:caps/>
        </w:rPr>
        <w:t>Case Questions</w:t>
      </w:r>
    </w:p>
    <w:p w14:paraId="743C3302" w14:textId="77777777" w:rsidR="00B364AA" w:rsidRPr="004D6777" w:rsidRDefault="00B364AA" w:rsidP="00856439">
      <w:pPr>
        <w:pStyle w:val="ListParagraph"/>
        <w:numPr>
          <w:ilvl w:val="0"/>
          <w:numId w:val="10"/>
        </w:numPr>
        <w:spacing w:after="120" w:line="276" w:lineRule="auto"/>
        <w:ind w:left="450"/>
        <w:contextualSpacing w:val="0"/>
        <w:jc w:val="both"/>
        <w:rPr>
          <w:rFonts w:ascii="Arial" w:hAnsi="Arial" w:cs="Arial"/>
        </w:rPr>
      </w:pPr>
      <w:r w:rsidRPr="004D6777">
        <w:rPr>
          <w:rFonts w:ascii="Arial" w:hAnsi="Arial" w:cs="Arial"/>
        </w:rPr>
        <w:t>Design a phased digital integration roadmap for BRYDGE HR Consulting, detailing how ATS, HRMS, and analytics tools should be adopted to minimize disruption and maximize efficiency.</w:t>
      </w:r>
    </w:p>
    <w:p w14:paraId="447DCF22" w14:textId="77777777" w:rsidR="00B364AA" w:rsidRPr="004D6777" w:rsidRDefault="00B364AA" w:rsidP="00856439">
      <w:pPr>
        <w:pStyle w:val="ListParagraph"/>
        <w:numPr>
          <w:ilvl w:val="0"/>
          <w:numId w:val="10"/>
        </w:numPr>
        <w:spacing w:after="120" w:line="276" w:lineRule="auto"/>
        <w:ind w:left="450"/>
        <w:contextualSpacing w:val="0"/>
        <w:jc w:val="both"/>
        <w:rPr>
          <w:rFonts w:ascii="Arial" w:hAnsi="Arial" w:cs="Arial"/>
        </w:rPr>
      </w:pPr>
      <w:r w:rsidRPr="004D6777">
        <w:rPr>
          <w:rFonts w:ascii="Arial" w:hAnsi="Arial" w:cs="Arial"/>
        </w:rPr>
        <w:t>Develop a data governance framework that outlines how candidate information should be collected, stored, validated, and accessed across recruitment workflows.</w:t>
      </w:r>
    </w:p>
    <w:p w14:paraId="29802B7C" w14:textId="77777777" w:rsidR="00B364AA" w:rsidRPr="004D6777" w:rsidRDefault="00B364AA" w:rsidP="00856439">
      <w:pPr>
        <w:pStyle w:val="ListParagraph"/>
        <w:numPr>
          <w:ilvl w:val="0"/>
          <w:numId w:val="10"/>
        </w:numPr>
        <w:spacing w:after="120" w:line="276" w:lineRule="auto"/>
        <w:ind w:left="450"/>
        <w:contextualSpacing w:val="0"/>
        <w:jc w:val="both"/>
        <w:rPr>
          <w:rFonts w:ascii="Arial" w:hAnsi="Arial" w:cs="Arial"/>
        </w:rPr>
      </w:pPr>
      <w:r w:rsidRPr="004D6777">
        <w:rPr>
          <w:rFonts w:ascii="Arial" w:hAnsi="Arial" w:cs="Arial"/>
        </w:rPr>
        <w:t>Map an end-to-end recruitment workflow for BRYDGE before and after digital integration, highlighting process improvements and automation touchpoints.</w:t>
      </w:r>
    </w:p>
    <w:p w14:paraId="35110F9C" w14:textId="77777777" w:rsidR="00B364AA" w:rsidRPr="004D6777" w:rsidRDefault="00B364AA" w:rsidP="00856439">
      <w:pPr>
        <w:pStyle w:val="ListParagraph"/>
        <w:numPr>
          <w:ilvl w:val="0"/>
          <w:numId w:val="10"/>
        </w:numPr>
        <w:spacing w:after="120" w:line="276" w:lineRule="auto"/>
        <w:ind w:left="450"/>
        <w:contextualSpacing w:val="0"/>
        <w:jc w:val="both"/>
        <w:rPr>
          <w:rFonts w:ascii="Arial" w:hAnsi="Arial" w:cs="Arial"/>
        </w:rPr>
      </w:pPr>
      <w:r w:rsidRPr="004D6777">
        <w:rPr>
          <w:rFonts w:ascii="Arial" w:hAnsi="Arial" w:cs="Arial"/>
        </w:rPr>
        <w:t>Propose strategies to address employee resistance during the technology adoption process, drawing on established change management theories.</w:t>
      </w:r>
    </w:p>
    <w:p w14:paraId="6A90AC29" w14:textId="77777777" w:rsidR="00B364AA" w:rsidRPr="004D6777" w:rsidRDefault="00B364AA" w:rsidP="00856439">
      <w:pPr>
        <w:pStyle w:val="ListParagraph"/>
        <w:numPr>
          <w:ilvl w:val="0"/>
          <w:numId w:val="10"/>
        </w:numPr>
        <w:spacing w:after="120" w:line="276" w:lineRule="auto"/>
        <w:ind w:left="450"/>
        <w:contextualSpacing w:val="0"/>
        <w:jc w:val="both"/>
        <w:rPr>
          <w:rFonts w:ascii="Arial" w:hAnsi="Arial" w:cs="Arial"/>
        </w:rPr>
      </w:pPr>
      <w:r w:rsidRPr="004D6777">
        <w:rPr>
          <w:rFonts w:ascii="Arial" w:hAnsi="Arial" w:cs="Arial"/>
        </w:rPr>
        <w:t xml:space="preserve">Construct an evaluation model to measure the effectiveness of digital </w:t>
      </w:r>
      <w:r w:rsidRPr="004D6777">
        <w:rPr>
          <w:rFonts w:ascii="Arial" w:hAnsi="Arial" w:cs="Arial"/>
        </w:rPr>
        <w:t>adoption using metrics such as time-to-hire, error rate, scheduling efficiency, and reporting cycle time.</w:t>
      </w:r>
    </w:p>
    <w:p w14:paraId="4B298E97" w14:textId="77777777" w:rsidR="00B364AA" w:rsidRPr="004D6777" w:rsidRDefault="00B364AA" w:rsidP="00856439">
      <w:pPr>
        <w:pStyle w:val="ListParagraph"/>
        <w:numPr>
          <w:ilvl w:val="0"/>
          <w:numId w:val="10"/>
        </w:numPr>
        <w:spacing w:after="120" w:line="276" w:lineRule="auto"/>
        <w:ind w:left="450"/>
        <w:contextualSpacing w:val="0"/>
        <w:jc w:val="both"/>
        <w:rPr>
          <w:rFonts w:ascii="Arial" w:hAnsi="Arial" w:cs="Arial"/>
        </w:rPr>
      </w:pPr>
      <w:r w:rsidRPr="004D6777">
        <w:rPr>
          <w:rFonts w:ascii="Arial" w:hAnsi="Arial" w:cs="Arial"/>
        </w:rPr>
        <w:t>Build a cost–benefit analysis that compares manual recruitment processes with ATS-driven automation, incorporating labour hours saved, scalability potential, and financial implications.</w:t>
      </w:r>
    </w:p>
    <w:p w14:paraId="14500DB3" w14:textId="77777777" w:rsidR="00B364AA" w:rsidRPr="004D6777" w:rsidRDefault="00B364AA" w:rsidP="00856439">
      <w:pPr>
        <w:pStyle w:val="ListParagraph"/>
        <w:numPr>
          <w:ilvl w:val="0"/>
          <w:numId w:val="10"/>
        </w:numPr>
        <w:spacing w:after="120" w:line="276" w:lineRule="auto"/>
        <w:ind w:left="450"/>
        <w:contextualSpacing w:val="0"/>
        <w:jc w:val="both"/>
        <w:rPr>
          <w:rFonts w:ascii="Arial" w:hAnsi="Arial" w:cs="Arial"/>
        </w:rPr>
      </w:pPr>
      <w:r w:rsidRPr="004D6777">
        <w:rPr>
          <w:rFonts w:ascii="Arial" w:hAnsi="Arial" w:cs="Arial"/>
        </w:rPr>
        <w:t>Identify integration challenges between ATS, HRMS, and external job portals, and recommend solutions based on literature and industry practices.</w:t>
      </w:r>
    </w:p>
    <w:p w14:paraId="5E2A5382" w14:textId="77777777" w:rsidR="00B364AA" w:rsidRPr="00856439" w:rsidRDefault="00B364AA" w:rsidP="00856439">
      <w:pPr>
        <w:spacing w:after="120" w:line="264" w:lineRule="auto"/>
        <w:jc w:val="center"/>
        <w:rPr>
          <w:rFonts w:ascii="Arial" w:hAnsi="Arial" w:cs="Arial"/>
          <w:b/>
          <w:caps/>
        </w:rPr>
      </w:pPr>
      <w:r w:rsidRPr="00856439">
        <w:rPr>
          <w:rFonts w:ascii="Arial" w:hAnsi="Arial" w:cs="Arial"/>
          <w:b/>
          <w:caps/>
        </w:rPr>
        <w:t>Refer</w:t>
      </w:r>
      <w:r w:rsidR="0049568C" w:rsidRPr="00856439">
        <w:rPr>
          <w:rFonts w:ascii="Arial" w:hAnsi="Arial" w:cs="Arial"/>
          <w:b/>
          <w:caps/>
        </w:rPr>
        <w:t>ences</w:t>
      </w:r>
    </w:p>
    <w:p w14:paraId="18D28702" w14:textId="77777777" w:rsidR="00B364AA" w:rsidRPr="00856439" w:rsidRDefault="00B364AA" w:rsidP="00856439">
      <w:pPr>
        <w:spacing w:after="120" w:line="264" w:lineRule="auto"/>
        <w:ind w:left="720" w:hanging="720"/>
        <w:jc w:val="both"/>
        <w:rPr>
          <w:rFonts w:ascii="Arial" w:hAnsi="Arial" w:cs="Arial"/>
        </w:rPr>
      </w:pPr>
      <w:r w:rsidRPr="00856439">
        <w:rPr>
          <w:rFonts w:ascii="Arial" w:hAnsi="Arial" w:cs="Arial"/>
        </w:rPr>
        <w:t>Davis, F. D., &amp; Venkatesh, V. (1996). A critical assessment of potential measurement biases in the technology acceptance model: Three experiments. International Journal of Human-Computer Studies, 45(1), 19–45.</w:t>
      </w:r>
    </w:p>
    <w:p w14:paraId="5F9216F7" w14:textId="77777777" w:rsidR="00B364AA" w:rsidRPr="00856439" w:rsidRDefault="00B364AA" w:rsidP="00856439">
      <w:pPr>
        <w:spacing w:after="120" w:line="264" w:lineRule="auto"/>
        <w:ind w:left="720" w:hanging="720"/>
        <w:jc w:val="both"/>
        <w:rPr>
          <w:rFonts w:ascii="Arial" w:hAnsi="Arial" w:cs="Arial"/>
        </w:rPr>
      </w:pPr>
      <w:r w:rsidRPr="00856439">
        <w:rPr>
          <w:rFonts w:ascii="Arial" w:hAnsi="Arial" w:cs="Arial"/>
        </w:rPr>
        <w:t>Gupta, R., &amp; Singhal, M. (2020). Impact of automation on HR practices: A study on the adoption of ATS and HR analytics. Journal of Human Resource Technology, 12(3), 45–58.</w:t>
      </w:r>
    </w:p>
    <w:p w14:paraId="0287E743" w14:textId="77777777" w:rsidR="00B364AA" w:rsidRPr="00856439" w:rsidRDefault="00B364AA" w:rsidP="00856439">
      <w:pPr>
        <w:spacing w:after="120" w:line="264" w:lineRule="auto"/>
        <w:ind w:left="720" w:hanging="720"/>
        <w:jc w:val="both"/>
        <w:rPr>
          <w:rFonts w:ascii="Arial" w:hAnsi="Arial" w:cs="Arial"/>
        </w:rPr>
      </w:pPr>
      <w:r w:rsidRPr="00856439">
        <w:rPr>
          <w:rFonts w:ascii="Arial" w:hAnsi="Arial" w:cs="Arial"/>
        </w:rPr>
        <w:t>Khera, S., &amp; Gulati, K. (2022). Digital transformation in recruitment: The role of AI and integrated HR systems. International Journal of Talent Management, 9(1), 67–84.</w:t>
      </w:r>
    </w:p>
    <w:p w14:paraId="32BFAD8A" w14:textId="77777777" w:rsidR="00B364AA" w:rsidRPr="00856439" w:rsidRDefault="00B364AA" w:rsidP="00856439">
      <w:pPr>
        <w:spacing w:after="120" w:line="264" w:lineRule="auto"/>
        <w:ind w:left="720" w:hanging="720"/>
        <w:jc w:val="both"/>
        <w:rPr>
          <w:rFonts w:ascii="Arial" w:hAnsi="Arial" w:cs="Arial"/>
        </w:rPr>
      </w:pPr>
      <w:proofErr w:type="spellStart"/>
      <w:r w:rsidRPr="00856439">
        <w:rPr>
          <w:rFonts w:ascii="Arial" w:hAnsi="Arial" w:cs="Arial"/>
        </w:rPr>
        <w:t>Meijerink</w:t>
      </w:r>
      <w:proofErr w:type="spellEnd"/>
      <w:r w:rsidRPr="00856439">
        <w:rPr>
          <w:rFonts w:ascii="Arial" w:hAnsi="Arial" w:cs="Arial"/>
        </w:rPr>
        <w:t>, J., Bondarouk, T., &amp; Lepak, D. (2021). When HRM meets technology: Exploring the implications of HR analytics for strategic HRM. Human Resource Management Review, 31(4), 100–118.</w:t>
      </w:r>
    </w:p>
    <w:p w14:paraId="7E714373" w14:textId="77777777" w:rsidR="00C05C58" w:rsidRPr="004D6777" w:rsidRDefault="00B364AA" w:rsidP="00856439">
      <w:pPr>
        <w:spacing w:after="120" w:line="264" w:lineRule="auto"/>
        <w:ind w:left="720" w:hanging="720"/>
        <w:jc w:val="both"/>
        <w:rPr>
          <w:rFonts w:ascii="Arial" w:hAnsi="Arial" w:cs="Arial"/>
        </w:rPr>
      </w:pPr>
      <w:r w:rsidRPr="00856439">
        <w:rPr>
          <w:rFonts w:ascii="Arial" w:hAnsi="Arial" w:cs="Arial"/>
        </w:rPr>
        <w:t>Mukherjee, S., &amp; Ranjan, R. (2019). Data fragmentation challenges in HR consulting firms: A study of manual workflows and digital readiness. Global Journal of Human Resource Studies, 7(2), 101–118.</w:t>
      </w:r>
      <w:r w:rsidR="00D9440D" w:rsidRPr="004D6777">
        <w:rPr>
          <w:rFonts w:ascii="Arial" w:hAnsi="Arial" w:cs="Arial"/>
        </w:rPr>
        <w:t xml:space="preserve">   </w:t>
      </w:r>
    </w:p>
    <w:sectPr w:rsidR="00C05C58" w:rsidRPr="004D6777" w:rsidSect="004D6777">
      <w:type w:val="continuous"/>
      <w:pgSz w:w="11906" w:h="16838" w:code="9"/>
      <w:pgMar w:top="1440" w:right="1440" w:bottom="1440" w:left="1440" w:header="1008" w:footer="706" w:gutter="0"/>
      <w:pgNumType w:start="64"/>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01F8F" w14:textId="77777777" w:rsidR="00BC7D1A" w:rsidRDefault="00BC7D1A" w:rsidP="007419B7">
      <w:pPr>
        <w:spacing w:after="0" w:line="240" w:lineRule="auto"/>
      </w:pPr>
      <w:r>
        <w:separator/>
      </w:r>
    </w:p>
  </w:endnote>
  <w:endnote w:type="continuationSeparator" w:id="0">
    <w:p w14:paraId="74E09216" w14:textId="77777777" w:rsidR="00BC7D1A" w:rsidRDefault="00BC7D1A" w:rsidP="00741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CCA1" w14:textId="77777777" w:rsidR="00BC7D1A" w:rsidRDefault="00BC7D1A" w:rsidP="007419B7">
      <w:pPr>
        <w:spacing w:after="0" w:line="240" w:lineRule="auto"/>
      </w:pPr>
      <w:r>
        <w:separator/>
      </w:r>
    </w:p>
  </w:footnote>
  <w:footnote w:type="continuationSeparator" w:id="0">
    <w:p w14:paraId="6BE5ADB0" w14:textId="77777777" w:rsidR="00BC7D1A" w:rsidRDefault="00BC7D1A" w:rsidP="00741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DC8B" w14:textId="77777777" w:rsidR="005161E0" w:rsidRPr="00D9440D" w:rsidRDefault="00D9440D" w:rsidP="00D9440D">
    <w:pPr>
      <w:pBdr>
        <w:bottom w:val="single" w:sz="4" w:space="1" w:color="auto"/>
      </w:pBdr>
      <w:spacing w:after="0" w:line="160" w:lineRule="atLeast"/>
      <w:jc w:val="both"/>
    </w:pPr>
    <w:r w:rsidRPr="00B62BAE">
      <w:rPr>
        <w:rFonts w:ascii="Arial" w:hAnsi="Arial" w:cs="Arial"/>
        <w:sz w:val="16"/>
        <w:szCs w:val="16"/>
      </w:rPr>
      <w:t>20</w:t>
    </w:r>
    <w:r>
      <w:rPr>
        <w:rFonts w:ascii="Arial" w:hAnsi="Arial" w:cs="Arial"/>
        <w:sz w:val="16"/>
        <w:szCs w:val="16"/>
      </w:rPr>
      <w:t>25</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CC3013">
      <w:rPr>
        <w:rFonts w:ascii="Arial" w:hAnsi="Arial" w:cs="Arial"/>
        <w:i/>
        <w:iCs/>
        <w:sz w:val="16"/>
        <w:szCs w:val="16"/>
      </w:rPr>
      <w:t>Pravalika R, Dr. Shipra Agrawal</w:t>
    </w:r>
    <w:r w:rsidRPr="00B62BAE">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62</w:t>
    </w:r>
    <w:r w:rsidRPr="00B62BAE">
      <w:rPr>
        <w:rFonts w:ascii="Arial" w:hAnsi="Arial" w:cs="Arial"/>
        <w:noProof/>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B8BD9" w14:textId="77777777" w:rsidR="005161E0" w:rsidRPr="00D9440D" w:rsidRDefault="00D9440D" w:rsidP="00D9440D">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63</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208"/>
    <w:multiLevelType w:val="hybridMultilevel"/>
    <w:tmpl w:val="9A8A4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4461FB2"/>
    <w:multiLevelType w:val="hybridMultilevel"/>
    <w:tmpl w:val="55EE17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7B90314"/>
    <w:multiLevelType w:val="hybridMultilevel"/>
    <w:tmpl w:val="A4BAF6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A082EA5"/>
    <w:multiLevelType w:val="hybridMultilevel"/>
    <w:tmpl w:val="6D7A62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EB9337A"/>
    <w:multiLevelType w:val="hybridMultilevel"/>
    <w:tmpl w:val="F65E19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7E04E4C"/>
    <w:multiLevelType w:val="hybridMultilevel"/>
    <w:tmpl w:val="F1AE3E5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CF16C1D"/>
    <w:multiLevelType w:val="hybridMultilevel"/>
    <w:tmpl w:val="B9A0AD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A471C49"/>
    <w:multiLevelType w:val="hybridMultilevel"/>
    <w:tmpl w:val="C77679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7271998"/>
    <w:multiLevelType w:val="hybridMultilevel"/>
    <w:tmpl w:val="3376B39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CB9315D"/>
    <w:multiLevelType w:val="hybridMultilevel"/>
    <w:tmpl w:val="02B05E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FF71B5C"/>
    <w:multiLevelType w:val="hybridMultilevel"/>
    <w:tmpl w:val="B79E9C3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33735294">
    <w:abstractNumId w:val="1"/>
  </w:num>
  <w:num w:numId="2" w16cid:durableId="409738355">
    <w:abstractNumId w:val="5"/>
  </w:num>
  <w:num w:numId="3" w16cid:durableId="1344549368">
    <w:abstractNumId w:val="4"/>
  </w:num>
  <w:num w:numId="4" w16cid:durableId="1727676793">
    <w:abstractNumId w:val="0"/>
  </w:num>
  <w:num w:numId="5" w16cid:durableId="730155613">
    <w:abstractNumId w:val="7"/>
  </w:num>
  <w:num w:numId="6" w16cid:durableId="2052533470">
    <w:abstractNumId w:val="6"/>
  </w:num>
  <w:num w:numId="7" w16cid:durableId="474221502">
    <w:abstractNumId w:val="8"/>
  </w:num>
  <w:num w:numId="8" w16cid:durableId="710112034">
    <w:abstractNumId w:val="10"/>
  </w:num>
  <w:num w:numId="9" w16cid:durableId="1492871088">
    <w:abstractNumId w:val="9"/>
  </w:num>
  <w:num w:numId="10" w16cid:durableId="567612324">
    <w:abstractNumId w:val="3"/>
  </w:num>
  <w:num w:numId="11" w16cid:durableId="622076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CB0"/>
    <w:rsid w:val="001C6085"/>
    <w:rsid w:val="00275CD2"/>
    <w:rsid w:val="002E73D0"/>
    <w:rsid w:val="00370CB0"/>
    <w:rsid w:val="003B6580"/>
    <w:rsid w:val="003C08C5"/>
    <w:rsid w:val="00402CB3"/>
    <w:rsid w:val="0049568C"/>
    <w:rsid w:val="004D6777"/>
    <w:rsid w:val="004E218E"/>
    <w:rsid w:val="005161E0"/>
    <w:rsid w:val="005663CC"/>
    <w:rsid w:val="005924F2"/>
    <w:rsid w:val="007419B7"/>
    <w:rsid w:val="00856439"/>
    <w:rsid w:val="008E0A2D"/>
    <w:rsid w:val="00972FDB"/>
    <w:rsid w:val="009812EE"/>
    <w:rsid w:val="00995289"/>
    <w:rsid w:val="009E564D"/>
    <w:rsid w:val="00AB2565"/>
    <w:rsid w:val="00AB2DBB"/>
    <w:rsid w:val="00B364AA"/>
    <w:rsid w:val="00B76C01"/>
    <w:rsid w:val="00BC7D1A"/>
    <w:rsid w:val="00C05C58"/>
    <w:rsid w:val="00CC3013"/>
    <w:rsid w:val="00D9440D"/>
    <w:rsid w:val="00ED212A"/>
    <w:rsid w:val="00F35E60"/>
    <w:rsid w:val="00F85FF3"/>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1F244"/>
  <w15:chartTrackingRefBased/>
  <w15:docId w15:val="{951EC80A-935E-4A6F-A5FA-752C9C1A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C58"/>
    <w:pPr>
      <w:ind w:left="720"/>
      <w:contextualSpacing/>
    </w:pPr>
  </w:style>
  <w:style w:type="table" w:styleId="TableGrid">
    <w:name w:val="Table Grid"/>
    <w:basedOn w:val="TableNormal"/>
    <w:uiPriority w:val="39"/>
    <w:rsid w:val="00741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19B7"/>
    <w:rPr>
      <w:color w:val="0000FF"/>
      <w:u w:val="single"/>
    </w:rPr>
  </w:style>
  <w:style w:type="paragraph" w:styleId="Header">
    <w:name w:val="header"/>
    <w:basedOn w:val="Normal"/>
    <w:link w:val="HeaderChar"/>
    <w:uiPriority w:val="99"/>
    <w:unhideWhenUsed/>
    <w:rsid w:val="007419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9B7"/>
  </w:style>
  <w:style w:type="paragraph" w:styleId="Footer">
    <w:name w:val="footer"/>
    <w:basedOn w:val="Normal"/>
    <w:link w:val="FooterChar"/>
    <w:uiPriority w:val="99"/>
    <w:unhideWhenUsed/>
    <w:rsid w:val="007419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9B7"/>
  </w:style>
  <w:style w:type="character" w:styleId="UnresolvedMention">
    <w:name w:val="Unresolved Mention"/>
    <w:basedOn w:val="DefaultParagraphFont"/>
    <w:uiPriority w:val="99"/>
    <w:semiHidden/>
    <w:unhideWhenUsed/>
    <w:rsid w:val="00B76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7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8261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2082</Words>
  <Characters>14245</Characters>
  <Application>Microsoft Office Word</Application>
  <DocSecurity>0</DocSecurity>
  <Lines>445</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CMS-STAFF138</dc:creator>
  <cp:keywords/>
  <dc:description/>
  <cp:lastModifiedBy>Ravi chandran</cp:lastModifiedBy>
  <cp:revision>15</cp:revision>
  <dcterms:created xsi:type="dcterms:W3CDTF">2025-12-04T03:57:00Z</dcterms:created>
  <dcterms:modified xsi:type="dcterms:W3CDTF">2025-12-05T06:47:00Z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2025-12-05T06:47:21Z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d5461a2b-638c-48c5-bb15-66752b30b88e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