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9010" w14:textId="3AE33905" w:rsidR="007419B7" w:rsidRPr="00EB6929" w:rsidRDefault="007419B7" w:rsidP="007419B7">
      <w:pPr>
        <w:spacing w:after="0" w:line="160" w:lineRule="atLeast"/>
        <w:jc w:val="both"/>
        <w:rPr>
          <w:rFonts w:ascii="Arial" w:eastAsia="Arial" w:hAnsi="Arial" w:cs="Arial"/>
          <w:i/>
          <w:color w:val="000000"/>
          <w:spacing w:val="-1"/>
          <w:sz w:val="14"/>
          <w:szCs w:val="14"/>
        </w:rPr>
      </w:pPr>
      <w:r w:rsidRPr="00EB6929">
        <w:rPr>
          <w:rFonts w:ascii="Arial" w:eastAsia="Arial" w:hAnsi="Arial" w:cs="Arial"/>
          <w:i/>
          <w:color w:val="000000"/>
          <w:sz w:val="14"/>
          <w:szCs w:val="14"/>
        </w:rPr>
        <w:t>©</w:t>
      </w:r>
      <w:r w:rsidRPr="00EB6929">
        <w:rPr>
          <w:rFonts w:ascii="Arial" w:eastAsia="Arial" w:hAnsi="Arial" w:cs="Arial"/>
          <w:i/>
          <w:color w:val="000000"/>
          <w:spacing w:val="-1"/>
          <w:sz w:val="14"/>
          <w:szCs w:val="14"/>
        </w:rPr>
        <w:t xml:space="preserve"> </w:t>
      </w:r>
      <w:r w:rsidRPr="00EB6929">
        <w:rPr>
          <w:rFonts w:ascii="Arial" w:eastAsia="Arial" w:hAnsi="Arial" w:cs="Arial"/>
          <w:i/>
          <w:color w:val="000000"/>
          <w:sz w:val="14"/>
          <w:szCs w:val="14"/>
        </w:rPr>
        <w:t>International</w:t>
      </w:r>
      <w:r w:rsidRPr="00EB6929">
        <w:rPr>
          <w:rFonts w:ascii="Arial" w:eastAsia="Arial" w:hAnsi="Arial" w:cs="Arial"/>
          <w:i/>
          <w:color w:val="000000"/>
          <w:spacing w:val="-1"/>
          <w:sz w:val="14"/>
          <w:szCs w:val="14"/>
        </w:rPr>
        <w:t xml:space="preserve"> Academic Research Journal of Business and Management   </w:t>
      </w:r>
      <w:r w:rsidRPr="00EB6929">
        <w:rPr>
          <w:rFonts w:ascii="Arial" w:eastAsia="Arial" w:hAnsi="Arial" w:cs="Arial"/>
          <w:i/>
          <w:color w:val="000000"/>
          <w:spacing w:val="-1"/>
          <w:sz w:val="14"/>
          <w:szCs w:val="14"/>
        </w:rPr>
        <w:tab/>
      </w:r>
      <w:r w:rsidR="0078499C">
        <w:rPr>
          <w:rFonts w:ascii="Arial" w:eastAsia="Arial" w:hAnsi="Arial" w:cs="Arial"/>
          <w:i/>
          <w:color w:val="000000"/>
          <w:spacing w:val="-1"/>
          <w:sz w:val="14"/>
          <w:szCs w:val="14"/>
        </w:rPr>
        <w:t xml:space="preserve">     </w:t>
      </w:r>
      <w:r w:rsidR="0078499C" w:rsidRPr="00EB6929">
        <w:rPr>
          <w:rFonts w:ascii="Arial" w:eastAsia="Arial" w:hAnsi="Arial" w:cs="Arial"/>
          <w:i/>
          <w:color w:val="000000"/>
          <w:spacing w:val="-1"/>
          <w:sz w:val="14"/>
          <w:szCs w:val="14"/>
        </w:rPr>
        <w:t xml:space="preserve">    </w:t>
      </w:r>
      <w:r w:rsidR="0078499C">
        <w:rPr>
          <w:rFonts w:ascii="Arial" w:eastAsia="Arial" w:hAnsi="Arial" w:cs="Arial"/>
          <w:i/>
          <w:color w:val="000000"/>
          <w:spacing w:val="-1"/>
          <w:sz w:val="14"/>
          <w:szCs w:val="14"/>
        </w:rPr>
        <w:tab/>
      </w:r>
      <w:r w:rsidR="0078499C">
        <w:rPr>
          <w:rFonts w:ascii="Arial" w:eastAsia="Arial" w:hAnsi="Arial" w:cs="Arial"/>
          <w:i/>
          <w:color w:val="000000"/>
          <w:spacing w:val="-1"/>
          <w:sz w:val="14"/>
          <w:szCs w:val="14"/>
        </w:rPr>
        <w:tab/>
      </w:r>
      <w:r w:rsidR="0078499C">
        <w:rPr>
          <w:rFonts w:ascii="Arial" w:eastAsia="Arial" w:hAnsi="Arial" w:cs="Arial"/>
          <w:i/>
          <w:color w:val="000000"/>
          <w:spacing w:val="-1"/>
          <w:sz w:val="14"/>
          <w:szCs w:val="14"/>
        </w:rPr>
        <w:tab/>
      </w:r>
      <w:r w:rsidR="0078499C">
        <w:rPr>
          <w:rFonts w:ascii="Arial" w:eastAsia="Arial" w:hAnsi="Arial" w:cs="Arial"/>
          <w:i/>
          <w:color w:val="000000"/>
          <w:spacing w:val="-1"/>
          <w:sz w:val="14"/>
          <w:szCs w:val="14"/>
        </w:rPr>
        <w:tab/>
      </w:r>
      <w:r w:rsidR="0078499C" w:rsidRPr="00812D87">
        <w:rPr>
          <w:rFonts w:ascii="Arial" w:eastAsia="Arial" w:hAnsi="Arial" w:cs="Arial"/>
          <w:i/>
          <w:color w:val="000000" w:themeColor="text1"/>
          <w:spacing w:val="-1"/>
          <w:sz w:val="14"/>
          <w:szCs w:val="14"/>
        </w:rPr>
        <w:t>ISSN:2227-1287</w:t>
      </w:r>
    </w:p>
    <w:p w14:paraId="0D8B791A" w14:textId="257A760A" w:rsidR="007419B7" w:rsidRDefault="007419B7" w:rsidP="007419B7">
      <w:pPr>
        <w:spacing w:after="0" w:line="160" w:lineRule="atLeast"/>
        <w:jc w:val="both"/>
        <w:rPr>
          <w:rFonts w:ascii="Arial" w:eastAsia="Arial" w:hAnsi="Arial" w:cs="Arial"/>
          <w:b/>
          <w:bCs/>
          <w:i/>
          <w:spacing w:val="-1"/>
          <w:sz w:val="14"/>
          <w:szCs w:val="14"/>
        </w:rPr>
      </w:pPr>
      <w:r w:rsidRPr="00EB6929">
        <w:rPr>
          <w:rFonts w:ascii="Arial" w:eastAsia="Arial" w:hAnsi="Arial" w:cs="Arial"/>
          <w:i/>
          <w:color w:val="000000"/>
          <w:spacing w:val="-1"/>
          <w:sz w:val="14"/>
          <w:szCs w:val="14"/>
        </w:rPr>
        <w:t>Volume 13, Issue No:2, December 2025</w:t>
      </w:r>
      <w:r w:rsidR="0078499C">
        <w:rPr>
          <w:rFonts w:ascii="Arial" w:eastAsia="Arial" w:hAnsi="Arial" w:cs="Arial"/>
          <w:i/>
          <w:color w:val="000000"/>
          <w:spacing w:val="-1"/>
          <w:sz w:val="14"/>
          <w:szCs w:val="14"/>
        </w:rPr>
        <w:tab/>
      </w:r>
      <w:r w:rsidR="0078499C">
        <w:rPr>
          <w:rFonts w:ascii="Arial" w:eastAsia="Arial" w:hAnsi="Arial" w:cs="Arial"/>
          <w:i/>
          <w:color w:val="000000"/>
          <w:spacing w:val="-1"/>
          <w:sz w:val="14"/>
          <w:szCs w:val="14"/>
        </w:rPr>
        <w:tab/>
      </w:r>
      <w:r w:rsidR="0078499C">
        <w:rPr>
          <w:rFonts w:ascii="Arial" w:eastAsia="Arial" w:hAnsi="Arial" w:cs="Arial"/>
          <w:i/>
          <w:color w:val="000000"/>
          <w:spacing w:val="-1"/>
          <w:sz w:val="14"/>
          <w:szCs w:val="14"/>
        </w:rPr>
        <w:tab/>
      </w:r>
      <w:r w:rsidR="0078499C">
        <w:rPr>
          <w:rFonts w:ascii="Arial" w:eastAsia="Arial" w:hAnsi="Arial" w:cs="Arial"/>
          <w:i/>
          <w:color w:val="000000"/>
          <w:spacing w:val="-1"/>
          <w:sz w:val="14"/>
          <w:szCs w:val="14"/>
        </w:rPr>
        <w:tab/>
      </w:r>
      <w:r w:rsidR="0078499C">
        <w:rPr>
          <w:rFonts w:ascii="Arial" w:eastAsia="Arial" w:hAnsi="Arial" w:cs="Arial"/>
          <w:i/>
          <w:color w:val="000000"/>
          <w:spacing w:val="-1"/>
          <w:sz w:val="14"/>
          <w:szCs w:val="14"/>
        </w:rPr>
        <w:tab/>
        <w:t xml:space="preserve">          </w:t>
      </w:r>
      <w:r w:rsidRPr="00EB6929">
        <w:rPr>
          <w:rFonts w:ascii="Arial" w:eastAsia="Arial" w:hAnsi="Arial" w:cs="Arial"/>
          <w:i/>
          <w:color w:val="000000"/>
          <w:spacing w:val="-1"/>
          <w:sz w:val="14"/>
          <w:szCs w:val="14"/>
        </w:rPr>
        <w:t xml:space="preserve">DOI: </w:t>
      </w:r>
      <w:hyperlink r:id="rId8" w:history="1">
        <w:r w:rsidR="007D5194" w:rsidRPr="00732715">
          <w:rPr>
            <w:rStyle w:val="Hyperlink"/>
            <w:rFonts w:ascii="Arial" w:eastAsia="Arial" w:hAnsi="Arial" w:cs="Arial"/>
            <w:i/>
            <w:spacing w:val="-1"/>
            <w:sz w:val="14"/>
            <w:szCs w:val="14"/>
          </w:rPr>
          <w:t>https://doi.org/1</w:t>
        </w:r>
        <w:r w:rsidR="007D5194" w:rsidRPr="00732715">
          <w:rPr>
            <w:rStyle w:val="Hyperlink"/>
            <w:rFonts w:ascii="Arial" w:eastAsia="Arial" w:hAnsi="Arial" w:cs="Arial"/>
            <w:i/>
            <w:spacing w:val="-1"/>
            <w:sz w:val="14"/>
            <w:szCs w:val="14"/>
          </w:rPr>
          <w:t>0</w:t>
        </w:r>
        <w:r w:rsidR="007D5194" w:rsidRPr="00732715">
          <w:rPr>
            <w:rStyle w:val="Hyperlink"/>
            <w:rFonts w:ascii="Arial" w:eastAsia="Arial" w:hAnsi="Arial" w:cs="Arial"/>
            <w:i/>
            <w:spacing w:val="-1"/>
            <w:sz w:val="14"/>
            <w:szCs w:val="14"/>
          </w:rPr>
          <w:t>.5281/zenodo.17826196</w:t>
        </w:r>
      </w:hyperlink>
    </w:p>
    <w:p w14:paraId="3AB19244" w14:textId="77777777" w:rsidR="007419B7" w:rsidRPr="00EB6929" w:rsidRDefault="007419B7" w:rsidP="007419B7">
      <w:pPr>
        <w:spacing w:after="0" w:line="160" w:lineRule="atLeast"/>
        <w:jc w:val="both"/>
        <w:rPr>
          <w:rFonts w:ascii="Arial" w:eastAsia="Arial" w:hAnsi="Arial" w:cs="Arial"/>
          <w:i/>
          <w:color w:val="000000"/>
          <w:spacing w:val="-1"/>
          <w:sz w:val="14"/>
          <w:szCs w:val="14"/>
        </w:rPr>
      </w:pPr>
    </w:p>
    <w:p w14:paraId="494520E8" w14:textId="77777777" w:rsidR="007419B7" w:rsidRPr="0078499C" w:rsidRDefault="007419B7" w:rsidP="007419B7">
      <w:pPr>
        <w:spacing w:after="0" w:line="240" w:lineRule="auto"/>
        <w:outlineLvl w:val="0"/>
        <w:rPr>
          <w:rFonts w:ascii="Arial" w:eastAsia="Times New Roman" w:hAnsi="Arial" w:cs="Arial"/>
          <w:b/>
          <w:bCs/>
          <w:kern w:val="36"/>
          <w:sz w:val="10"/>
          <w:szCs w:val="10"/>
          <w:lang w:eastAsia="en-IN"/>
        </w:rPr>
      </w:pPr>
    </w:p>
    <w:p w14:paraId="7C0C34D3" w14:textId="77777777" w:rsidR="007E70F3" w:rsidRPr="0078499C" w:rsidRDefault="00FE261F" w:rsidP="007E70F3">
      <w:pPr>
        <w:jc w:val="center"/>
        <w:rPr>
          <w:rFonts w:ascii="Times New Roman" w:hAnsi="Times New Roman" w:cs="Times New Roman"/>
          <w:b/>
          <w:sz w:val="32"/>
          <w:szCs w:val="32"/>
        </w:rPr>
      </w:pPr>
      <w:r w:rsidRPr="0078499C">
        <w:rPr>
          <w:rFonts w:ascii="Times New Roman" w:hAnsi="Times New Roman" w:cs="Times New Roman"/>
          <w:b/>
          <w:sz w:val="32"/>
          <w:szCs w:val="32"/>
        </w:rPr>
        <w:t>Synergy Sphere’s Leap – From Regional Strength to Global Aspirations</w:t>
      </w:r>
    </w:p>
    <w:tbl>
      <w:tblPr>
        <w:tblStyle w:val="TableGrid"/>
        <w:tblW w:w="0" w:type="auto"/>
        <w:tblInd w:w="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26"/>
      </w:tblGrid>
      <w:tr w:rsidR="007419B7" w:rsidRPr="0078499C" w14:paraId="117F7235" w14:textId="77777777" w:rsidTr="003147A7">
        <w:tc>
          <w:tcPr>
            <w:tcW w:w="3828" w:type="dxa"/>
          </w:tcPr>
          <w:p w14:paraId="7B538CF7" w14:textId="77777777" w:rsidR="00FE261F" w:rsidRPr="0078499C" w:rsidRDefault="00FE261F" w:rsidP="007419B7">
            <w:pPr>
              <w:contextualSpacing/>
              <w:jc w:val="center"/>
              <w:rPr>
                <w:rFonts w:cstheme="minorHAnsi"/>
                <w:b/>
                <w:i/>
                <w:iCs/>
                <w:sz w:val="16"/>
                <w:szCs w:val="16"/>
              </w:rPr>
            </w:pPr>
            <w:proofErr w:type="spellStart"/>
            <w:r w:rsidRPr="0078499C">
              <w:rPr>
                <w:rFonts w:cstheme="minorHAnsi"/>
                <w:b/>
                <w:i/>
                <w:iCs/>
                <w:sz w:val="16"/>
                <w:szCs w:val="16"/>
              </w:rPr>
              <w:t>Kruthishree</w:t>
            </w:r>
            <w:proofErr w:type="spellEnd"/>
            <w:r w:rsidRPr="0078499C">
              <w:rPr>
                <w:rFonts w:cstheme="minorHAnsi"/>
                <w:b/>
                <w:i/>
                <w:iCs/>
                <w:sz w:val="16"/>
                <w:szCs w:val="16"/>
              </w:rPr>
              <w:t xml:space="preserve"> M Kiran</w:t>
            </w:r>
          </w:p>
          <w:p w14:paraId="4F53EBEC" w14:textId="77777777" w:rsidR="007419B7" w:rsidRPr="0078499C" w:rsidRDefault="007419B7" w:rsidP="007419B7">
            <w:pPr>
              <w:contextualSpacing/>
              <w:jc w:val="center"/>
              <w:rPr>
                <w:rFonts w:cstheme="minorHAnsi"/>
                <w:sz w:val="16"/>
                <w:szCs w:val="16"/>
              </w:rPr>
            </w:pPr>
            <w:r w:rsidRPr="0078499C">
              <w:rPr>
                <w:rFonts w:cstheme="minorHAnsi"/>
                <w:sz w:val="16"/>
                <w:szCs w:val="16"/>
              </w:rPr>
              <w:t>Student, Faculty of Management Studies,</w:t>
            </w:r>
          </w:p>
          <w:p w14:paraId="618E90E1" w14:textId="77777777" w:rsidR="007419B7" w:rsidRPr="0078499C" w:rsidRDefault="007419B7" w:rsidP="007419B7">
            <w:pPr>
              <w:contextualSpacing/>
              <w:jc w:val="center"/>
              <w:rPr>
                <w:rFonts w:cstheme="minorHAnsi"/>
                <w:sz w:val="16"/>
                <w:szCs w:val="16"/>
              </w:rPr>
            </w:pPr>
            <w:r w:rsidRPr="0078499C">
              <w:rPr>
                <w:rFonts w:cstheme="minorHAnsi"/>
                <w:sz w:val="16"/>
                <w:szCs w:val="16"/>
              </w:rPr>
              <w:t xml:space="preserve"> CMS Business School, </w:t>
            </w:r>
          </w:p>
          <w:p w14:paraId="3558E0E7" w14:textId="77777777" w:rsidR="007419B7" w:rsidRPr="0078499C" w:rsidRDefault="007419B7" w:rsidP="007419B7">
            <w:pPr>
              <w:contextualSpacing/>
              <w:jc w:val="center"/>
              <w:rPr>
                <w:rFonts w:cstheme="minorHAnsi"/>
                <w:sz w:val="16"/>
                <w:szCs w:val="16"/>
              </w:rPr>
            </w:pPr>
            <w:r w:rsidRPr="0078499C">
              <w:rPr>
                <w:rFonts w:cstheme="minorHAnsi"/>
                <w:sz w:val="16"/>
                <w:szCs w:val="16"/>
              </w:rPr>
              <w:t>JAIN (Deemed-to-be University) Bangalore, India</w:t>
            </w:r>
          </w:p>
        </w:tc>
        <w:tc>
          <w:tcPr>
            <w:tcW w:w="3826" w:type="dxa"/>
          </w:tcPr>
          <w:p w14:paraId="2DB8DD9A" w14:textId="77777777" w:rsidR="000C7255" w:rsidRPr="0078499C" w:rsidRDefault="00B364AA" w:rsidP="000C7255">
            <w:pPr>
              <w:contextualSpacing/>
              <w:jc w:val="center"/>
              <w:outlineLvl w:val="0"/>
              <w:rPr>
                <w:rFonts w:eastAsia="Times New Roman" w:cstheme="minorHAnsi"/>
                <w:b/>
                <w:i/>
                <w:iCs/>
                <w:sz w:val="16"/>
                <w:szCs w:val="16"/>
                <w:lang w:eastAsia="en-IN"/>
              </w:rPr>
            </w:pPr>
            <w:r w:rsidRPr="0078499C">
              <w:rPr>
                <w:rFonts w:eastAsia="Times New Roman" w:cstheme="minorHAnsi"/>
                <w:b/>
                <w:i/>
                <w:iCs/>
                <w:sz w:val="16"/>
                <w:szCs w:val="16"/>
                <w:lang w:eastAsia="en-IN"/>
              </w:rPr>
              <w:t xml:space="preserve">Dr. </w:t>
            </w:r>
            <w:r w:rsidR="00FE261F" w:rsidRPr="0078499C">
              <w:rPr>
                <w:rFonts w:eastAsia="Times New Roman" w:cstheme="minorHAnsi"/>
                <w:b/>
                <w:i/>
                <w:iCs/>
                <w:sz w:val="16"/>
                <w:szCs w:val="16"/>
                <w:lang w:eastAsia="en-IN"/>
              </w:rPr>
              <w:t>Pooja Nagpal</w:t>
            </w:r>
          </w:p>
          <w:p w14:paraId="281A3510" w14:textId="77777777" w:rsidR="007419B7" w:rsidRPr="0078499C" w:rsidRDefault="00FE261F" w:rsidP="007419B7">
            <w:pPr>
              <w:contextualSpacing/>
              <w:jc w:val="center"/>
              <w:outlineLvl w:val="0"/>
              <w:rPr>
                <w:rFonts w:cstheme="minorHAnsi"/>
                <w:sz w:val="16"/>
                <w:szCs w:val="16"/>
              </w:rPr>
            </w:pPr>
            <w:r w:rsidRPr="0078499C">
              <w:rPr>
                <w:rFonts w:cstheme="minorHAnsi"/>
                <w:sz w:val="16"/>
                <w:szCs w:val="16"/>
              </w:rPr>
              <w:t>Associate</w:t>
            </w:r>
            <w:r w:rsidR="007419B7" w:rsidRPr="0078499C">
              <w:rPr>
                <w:rFonts w:cstheme="minorHAnsi"/>
                <w:sz w:val="16"/>
                <w:szCs w:val="16"/>
              </w:rPr>
              <w:t xml:space="preserve"> Professor, Faculty of Management Studies, CMS Business School, </w:t>
            </w:r>
          </w:p>
          <w:p w14:paraId="107271AB" w14:textId="77777777" w:rsidR="007419B7" w:rsidRPr="0078499C" w:rsidRDefault="007419B7" w:rsidP="007419B7">
            <w:pPr>
              <w:contextualSpacing/>
              <w:jc w:val="center"/>
              <w:outlineLvl w:val="0"/>
              <w:rPr>
                <w:rFonts w:cstheme="minorHAnsi"/>
                <w:sz w:val="16"/>
                <w:szCs w:val="16"/>
              </w:rPr>
            </w:pPr>
            <w:r w:rsidRPr="0078499C">
              <w:rPr>
                <w:rFonts w:cstheme="minorHAnsi"/>
                <w:sz w:val="16"/>
                <w:szCs w:val="16"/>
              </w:rPr>
              <w:t xml:space="preserve">JAIN (Deemed-to-be University) Bangalore, India. </w:t>
            </w:r>
          </w:p>
        </w:tc>
      </w:tr>
    </w:tbl>
    <w:p w14:paraId="614D20DC" w14:textId="77777777" w:rsidR="007419B7" w:rsidRPr="00EB6929" w:rsidRDefault="007419B7" w:rsidP="00C05C58">
      <w:pPr>
        <w:spacing w:after="0"/>
        <w:jc w:val="center"/>
        <w:rPr>
          <w:rFonts w:ascii="Arial" w:hAnsi="Arial" w:cs="Arial"/>
          <w:b/>
          <w:sz w:val="28"/>
        </w:rPr>
      </w:pPr>
    </w:p>
    <w:p w14:paraId="66F28E4E" w14:textId="77777777" w:rsidR="007E70F3" w:rsidRPr="0078499C" w:rsidRDefault="007E70F3" w:rsidP="0078499C">
      <w:pPr>
        <w:spacing w:after="120" w:line="240" w:lineRule="auto"/>
        <w:ind w:left="432" w:right="389"/>
        <w:jc w:val="center"/>
        <w:rPr>
          <w:rFonts w:ascii="Arial" w:hAnsi="Arial" w:cs="Arial"/>
          <w:b/>
          <w:i/>
          <w:iCs/>
          <w:sz w:val="18"/>
          <w:szCs w:val="18"/>
        </w:rPr>
      </w:pPr>
      <w:r w:rsidRPr="0078499C">
        <w:rPr>
          <w:rFonts w:ascii="Arial" w:hAnsi="Arial" w:cs="Arial"/>
          <w:b/>
          <w:i/>
          <w:iCs/>
          <w:sz w:val="18"/>
          <w:szCs w:val="18"/>
        </w:rPr>
        <w:t>Abstract</w:t>
      </w:r>
    </w:p>
    <w:p w14:paraId="024A463E" w14:textId="77777777" w:rsidR="00FE261F" w:rsidRDefault="00FE261F" w:rsidP="0078499C">
      <w:pPr>
        <w:spacing w:after="120" w:line="240" w:lineRule="auto"/>
        <w:ind w:left="432" w:right="389"/>
        <w:jc w:val="both"/>
        <w:rPr>
          <w:rFonts w:ascii="Arial" w:hAnsi="Arial" w:cs="Arial"/>
          <w:sz w:val="18"/>
          <w:szCs w:val="18"/>
          <w:lang w:val="en-US"/>
        </w:rPr>
      </w:pPr>
      <w:r w:rsidRPr="00FE261F">
        <w:rPr>
          <w:rFonts w:ascii="Arial" w:hAnsi="Arial" w:cs="Arial"/>
          <w:sz w:val="18"/>
          <w:szCs w:val="18"/>
          <w:lang w:val="en-US"/>
        </w:rPr>
        <w:t>Synergy Sphere is a fast-growing B2B events company operating across Asia, the Middle East, and Africa. The case follows Ayra, an intern facing challenges in delegate sales and event operations. Delegate outreach struggled due to time-zone differences, low email visibility, and difficulty targeting key senior executives. Operationally, vendor delays and last-minute demands created financial risks, impacting production quality and timelines. Strategic solutions included time</w:t>
      </w:r>
      <w:r w:rsidRPr="00FE261F">
        <w:rPr>
          <w:rFonts w:ascii="Cambria Math" w:hAnsi="Cambria Math" w:cs="Cambria Math"/>
          <w:sz w:val="18"/>
          <w:szCs w:val="18"/>
          <w:lang w:val="en-US"/>
        </w:rPr>
        <w:t>‑</w:t>
      </w:r>
      <w:r w:rsidRPr="00FE261F">
        <w:rPr>
          <w:rFonts w:ascii="Arial" w:hAnsi="Arial" w:cs="Arial"/>
          <w:sz w:val="18"/>
          <w:szCs w:val="18"/>
          <w:lang w:val="en-US"/>
        </w:rPr>
        <w:t>zone mapping, personalized communication, multichannel outreach, and vendor contingency planning. Outcomes showed higher follow</w:t>
      </w:r>
      <w:r w:rsidRPr="00FE261F">
        <w:rPr>
          <w:rFonts w:ascii="Cambria Math" w:hAnsi="Cambria Math" w:cs="Cambria Math"/>
          <w:sz w:val="18"/>
          <w:szCs w:val="18"/>
          <w:lang w:val="en-US"/>
        </w:rPr>
        <w:t>‑</w:t>
      </w:r>
      <w:r w:rsidRPr="00FE261F">
        <w:rPr>
          <w:rFonts w:ascii="Arial" w:hAnsi="Arial" w:cs="Arial"/>
          <w:sz w:val="18"/>
          <w:szCs w:val="18"/>
          <w:lang w:val="en-US"/>
        </w:rPr>
        <w:t>up success and reduced disruption. The case highlights critical learning on structured communication, disciplined planning, and event resilience</w:t>
      </w:r>
    </w:p>
    <w:p w14:paraId="76756E52" w14:textId="77777777" w:rsidR="007E70F3" w:rsidRPr="007E70F3" w:rsidRDefault="007E70F3" w:rsidP="0078499C">
      <w:pPr>
        <w:spacing w:after="120" w:line="240" w:lineRule="auto"/>
        <w:ind w:left="432" w:right="389"/>
        <w:jc w:val="both"/>
        <w:rPr>
          <w:rFonts w:ascii="Arial" w:hAnsi="Arial" w:cs="Arial"/>
          <w:sz w:val="18"/>
          <w:szCs w:val="18"/>
        </w:rPr>
      </w:pPr>
      <w:r w:rsidRPr="007E70F3">
        <w:rPr>
          <w:rFonts w:ascii="Arial" w:hAnsi="Arial" w:cs="Arial"/>
          <w:b/>
          <w:sz w:val="18"/>
          <w:szCs w:val="18"/>
        </w:rPr>
        <w:t>Keywords</w:t>
      </w:r>
      <w:r w:rsidRPr="007E70F3">
        <w:rPr>
          <w:rFonts w:ascii="Arial" w:hAnsi="Arial" w:cs="Arial"/>
          <w:sz w:val="18"/>
          <w:szCs w:val="18"/>
        </w:rPr>
        <w:t xml:space="preserve">: Vendor management, </w:t>
      </w:r>
      <w:r w:rsidR="00F97A9A">
        <w:rPr>
          <w:rFonts w:ascii="Arial" w:hAnsi="Arial" w:cs="Arial"/>
          <w:sz w:val="18"/>
          <w:szCs w:val="18"/>
        </w:rPr>
        <w:t xml:space="preserve">B2B, </w:t>
      </w:r>
      <w:r w:rsidR="00F97A9A" w:rsidRPr="00F97A9A">
        <w:rPr>
          <w:rFonts w:ascii="Arial" w:hAnsi="Arial" w:cs="Arial"/>
          <w:sz w:val="18"/>
          <w:szCs w:val="18"/>
          <w:lang w:val="en-US"/>
        </w:rPr>
        <w:t>digital transformation</w:t>
      </w:r>
      <w:r w:rsidR="00F97A9A">
        <w:rPr>
          <w:rFonts w:ascii="Arial" w:hAnsi="Arial" w:cs="Arial"/>
          <w:sz w:val="18"/>
          <w:szCs w:val="18"/>
          <w:lang w:val="en-US"/>
        </w:rPr>
        <w:t>,</w:t>
      </w:r>
      <w:r w:rsidR="00F97A9A" w:rsidRPr="00F97A9A">
        <w:rPr>
          <w:rFonts w:ascii="Arial" w:hAnsi="Arial" w:cs="Arial"/>
          <w:sz w:val="18"/>
          <w:szCs w:val="18"/>
          <w:lang w:val="en-US"/>
        </w:rPr>
        <w:t xml:space="preserve"> </w:t>
      </w:r>
      <w:r w:rsidR="00F97A9A" w:rsidRPr="00FE261F">
        <w:rPr>
          <w:rFonts w:ascii="Arial" w:hAnsi="Arial" w:cs="Arial"/>
          <w:sz w:val="18"/>
          <w:szCs w:val="18"/>
          <w:lang w:val="en-US"/>
        </w:rPr>
        <w:t>time</w:t>
      </w:r>
      <w:r w:rsidR="00F97A9A" w:rsidRPr="00FE261F">
        <w:rPr>
          <w:rFonts w:ascii="Cambria Math" w:hAnsi="Cambria Math" w:cs="Cambria Math"/>
          <w:sz w:val="18"/>
          <w:szCs w:val="18"/>
          <w:lang w:val="en-US"/>
        </w:rPr>
        <w:t>‑</w:t>
      </w:r>
      <w:r w:rsidR="00F97A9A" w:rsidRPr="00FE261F">
        <w:rPr>
          <w:rFonts w:ascii="Arial" w:hAnsi="Arial" w:cs="Arial"/>
          <w:sz w:val="18"/>
          <w:szCs w:val="18"/>
          <w:lang w:val="en-US"/>
        </w:rPr>
        <w:t>zone mapping</w:t>
      </w:r>
      <w:r w:rsidR="00F97A9A">
        <w:rPr>
          <w:rFonts w:ascii="Arial" w:hAnsi="Arial" w:cs="Arial"/>
          <w:sz w:val="18"/>
          <w:szCs w:val="18"/>
          <w:lang w:val="en-US"/>
        </w:rPr>
        <w:t xml:space="preserve"> </w:t>
      </w:r>
      <w:r w:rsidR="00F97A9A" w:rsidRPr="00F97A9A">
        <w:rPr>
          <w:rFonts w:ascii="Arial" w:hAnsi="Arial" w:cs="Arial"/>
          <w:sz w:val="18"/>
          <w:szCs w:val="18"/>
          <w:lang w:val="en-US"/>
        </w:rPr>
        <w:t>Hybrid models</w:t>
      </w:r>
      <w:r w:rsidR="00F97A9A">
        <w:rPr>
          <w:rFonts w:ascii="Arial" w:hAnsi="Arial" w:cs="Arial"/>
          <w:sz w:val="18"/>
          <w:szCs w:val="18"/>
          <w:lang w:val="en-US"/>
        </w:rPr>
        <w:t xml:space="preserve">, </w:t>
      </w:r>
    </w:p>
    <w:p w14:paraId="121629AB" w14:textId="77777777" w:rsidR="0078499C" w:rsidRPr="0078499C" w:rsidRDefault="0078499C" w:rsidP="007E70F3">
      <w:pPr>
        <w:jc w:val="center"/>
        <w:rPr>
          <w:rFonts w:ascii="Arial" w:hAnsi="Arial" w:cs="Arial"/>
          <w:caps/>
          <w:sz w:val="18"/>
          <w:szCs w:val="18"/>
        </w:rPr>
      </w:pPr>
    </w:p>
    <w:p w14:paraId="7749427C" w14:textId="77777777" w:rsidR="0078499C" w:rsidRPr="0078499C" w:rsidRDefault="0078499C" w:rsidP="007E70F3">
      <w:pPr>
        <w:jc w:val="center"/>
        <w:rPr>
          <w:rFonts w:ascii="Arial" w:hAnsi="Arial" w:cs="Arial"/>
          <w:caps/>
          <w:sz w:val="2"/>
          <w:szCs w:val="2"/>
        </w:rPr>
        <w:sectPr w:rsidR="0078499C" w:rsidRPr="0078499C" w:rsidSect="008926D7">
          <w:headerReference w:type="even" r:id="rId9"/>
          <w:headerReference w:type="default" r:id="rId10"/>
          <w:type w:val="continuous"/>
          <w:pgSz w:w="11906" w:h="16838" w:code="9"/>
          <w:pgMar w:top="1440" w:right="1440" w:bottom="1440" w:left="1440" w:header="1008" w:footer="706" w:gutter="0"/>
          <w:pgNumType w:start="74"/>
          <w:cols w:space="708"/>
          <w:docGrid w:linePitch="360"/>
        </w:sectPr>
      </w:pPr>
    </w:p>
    <w:p w14:paraId="5088862F" w14:textId="77777777" w:rsidR="007E70F3" w:rsidRPr="0078499C" w:rsidRDefault="0078499C" w:rsidP="0078499C">
      <w:pPr>
        <w:spacing w:after="120" w:line="276" w:lineRule="auto"/>
        <w:jc w:val="center"/>
        <w:rPr>
          <w:rFonts w:ascii="Arial" w:hAnsi="Arial" w:cs="Arial"/>
          <w:b/>
          <w:caps/>
        </w:rPr>
      </w:pPr>
      <w:r w:rsidRPr="0078499C">
        <w:rPr>
          <w:rFonts w:ascii="Arial" w:hAnsi="Arial" w:cs="Arial"/>
          <w:caps/>
        </w:rPr>
        <w:t xml:space="preserve">    </w:t>
      </w:r>
      <w:r w:rsidR="007E70F3" w:rsidRPr="0078499C">
        <w:rPr>
          <w:rFonts w:ascii="Arial" w:hAnsi="Arial" w:cs="Arial"/>
          <w:b/>
          <w:caps/>
        </w:rPr>
        <w:t>Introduction</w:t>
      </w:r>
    </w:p>
    <w:p w14:paraId="20908BB9" w14:textId="77777777" w:rsidR="00FE261F" w:rsidRPr="0078499C" w:rsidRDefault="00FE261F" w:rsidP="0078499C">
      <w:pPr>
        <w:spacing w:after="120" w:line="276" w:lineRule="auto"/>
        <w:ind w:firstLine="720"/>
        <w:jc w:val="both"/>
        <w:rPr>
          <w:rFonts w:ascii="Arial" w:hAnsi="Arial" w:cs="Arial"/>
          <w:lang w:val="en-US"/>
        </w:rPr>
      </w:pPr>
      <w:r w:rsidRPr="0078499C">
        <w:rPr>
          <w:rFonts w:ascii="Arial" w:hAnsi="Arial" w:cs="Arial"/>
          <w:lang w:val="en-US"/>
        </w:rPr>
        <w:t>Ayra began her internship at Synergy Sphere expecting creativity and seamless conferences across global markets. Her initial experience proved difficult. Emails sent to delegates in different regions were often lost due to timing gaps, and senior executives rarely responded. Marketing struggled to localize content across cultures, while operations faced last</w:t>
      </w:r>
      <w:r w:rsidRPr="0078499C">
        <w:rPr>
          <w:rFonts w:ascii="Cambria Math" w:hAnsi="Cambria Math" w:cs="Cambria Math"/>
          <w:lang w:val="en-US"/>
        </w:rPr>
        <w:t>‑</w:t>
      </w:r>
      <w:r w:rsidRPr="0078499C">
        <w:rPr>
          <w:rFonts w:ascii="Arial" w:hAnsi="Arial" w:cs="Arial"/>
          <w:lang w:val="en-US"/>
        </w:rPr>
        <w:t>minute vendor demands four days before events, increasing budgets and affecting quality. The company functions within the broader MICE ecosystem and organizes events in cybersecurity, fintech, AI, and digital transformation. Hybrid events and data analytics drive engagement, yet execution requires synchronization across communication, planning, vendor alignment, and stakeholder management. Ayra’s experience revealed the importance of structured processes. She tracked time zones, used personalized follow</w:t>
      </w:r>
      <w:r w:rsidRPr="0078499C">
        <w:rPr>
          <w:rFonts w:ascii="Cambria Math" w:hAnsi="Cambria Math" w:cs="Cambria Math"/>
          <w:lang w:val="en-US"/>
        </w:rPr>
        <w:t>‑</w:t>
      </w:r>
      <w:r w:rsidRPr="0078499C">
        <w:rPr>
          <w:rFonts w:ascii="Arial" w:hAnsi="Arial" w:cs="Arial"/>
          <w:lang w:val="en-US"/>
        </w:rPr>
        <w:t>ups, and employed WhatsApp and LinkedIn for better reach. Vendor issues were handled by creating a backup list, setting a compulsory three</w:t>
      </w:r>
      <w:r w:rsidRPr="0078499C">
        <w:rPr>
          <w:rFonts w:ascii="Cambria Math" w:hAnsi="Cambria Math" w:cs="Cambria Math"/>
          <w:lang w:val="en-US"/>
        </w:rPr>
        <w:t>‑</w:t>
      </w:r>
      <w:r w:rsidRPr="0078499C">
        <w:rPr>
          <w:rFonts w:ascii="Arial" w:hAnsi="Arial" w:cs="Arial"/>
          <w:lang w:val="en-US"/>
        </w:rPr>
        <w:t xml:space="preserve">day buffer, and holding </w:t>
      </w:r>
      <w:r w:rsidRPr="0078499C">
        <w:rPr>
          <w:rFonts w:ascii="Arial" w:hAnsi="Arial" w:cs="Arial"/>
          <w:lang w:val="en-US"/>
        </w:rPr>
        <w:t>pre</w:t>
      </w:r>
      <w:r w:rsidRPr="0078499C">
        <w:rPr>
          <w:rFonts w:ascii="Cambria Math" w:hAnsi="Cambria Math" w:cs="Cambria Math"/>
          <w:lang w:val="en-US"/>
        </w:rPr>
        <w:t>‑</w:t>
      </w:r>
      <w:r w:rsidRPr="0078499C">
        <w:rPr>
          <w:rFonts w:ascii="Arial" w:hAnsi="Arial" w:cs="Arial"/>
          <w:lang w:val="en-US"/>
        </w:rPr>
        <w:t>event calls with stakeholders. The case demonstrates how simple procedural changes significantly reduce uncertainty and improve delegate conversion.</w:t>
      </w:r>
    </w:p>
    <w:p w14:paraId="644CF918" w14:textId="77777777" w:rsidR="00FE261F" w:rsidRPr="0078499C" w:rsidRDefault="00FE261F" w:rsidP="0078499C">
      <w:pPr>
        <w:spacing w:after="120" w:line="276" w:lineRule="auto"/>
        <w:jc w:val="center"/>
        <w:rPr>
          <w:rFonts w:ascii="Arial" w:hAnsi="Arial" w:cs="Arial"/>
          <w:b/>
          <w:bCs/>
          <w:caps/>
          <w:lang w:val="en-US"/>
        </w:rPr>
      </w:pPr>
      <w:r w:rsidRPr="0078499C">
        <w:rPr>
          <w:rFonts w:ascii="Arial" w:hAnsi="Arial" w:cs="Arial"/>
          <w:b/>
          <w:bCs/>
          <w:caps/>
          <w:lang w:val="en-US"/>
        </w:rPr>
        <w:t>About the Industry</w:t>
      </w:r>
    </w:p>
    <w:p w14:paraId="77FCF318" w14:textId="77777777" w:rsidR="00FE261F" w:rsidRPr="0078499C" w:rsidRDefault="00FE261F" w:rsidP="0078499C">
      <w:pPr>
        <w:spacing w:after="120" w:line="276" w:lineRule="auto"/>
        <w:ind w:firstLine="720"/>
        <w:jc w:val="both"/>
        <w:rPr>
          <w:rFonts w:ascii="Arial" w:hAnsi="Arial" w:cs="Arial"/>
          <w:lang w:val="en-US"/>
        </w:rPr>
      </w:pPr>
      <w:r w:rsidRPr="0078499C">
        <w:rPr>
          <w:rFonts w:ascii="Arial" w:hAnsi="Arial" w:cs="Arial"/>
          <w:lang w:val="en-US"/>
        </w:rPr>
        <w:t>The global B2B events industry, part of the MICE sector, connects decision makers and fosters knowledge exchange. Events are shifting to hybrid formats driven by digital transformation, post</w:t>
      </w:r>
      <w:r w:rsidRPr="0078499C">
        <w:rPr>
          <w:rFonts w:ascii="Cambria Math" w:hAnsi="Cambria Math" w:cs="Cambria Math"/>
          <w:lang w:val="en-US"/>
        </w:rPr>
        <w:t>‑</w:t>
      </w:r>
      <w:r w:rsidRPr="0078499C">
        <w:rPr>
          <w:rFonts w:ascii="Arial" w:hAnsi="Arial" w:cs="Arial"/>
          <w:lang w:val="en-US"/>
        </w:rPr>
        <w:t xml:space="preserve">pandemic engagement habits, and demand for customized attendee experiences. According to the case, Southeast Asia, Middle East, and Africa are emerging markets showing rapid growth due to business expansion and economic strengthening. </w:t>
      </w:r>
    </w:p>
    <w:p w14:paraId="3E06D6B5" w14:textId="77777777" w:rsidR="00FE261F" w:rsidRPr="0078499C" w:rsidRDefault="00FE261F" w:rsidP="0078499C">
      <w:pPr>
        <w:spacing w:after="120" w:line="276" w:lineRule="auto"/>
        <w:ind w:firstLine="720"/>
        <w:jc w:val="both"/>
        <w:rPr>
          <w:rFonts w:ascii="Arial" w:hAnsi="Arial" w:cs="Arial"/>
          <w:lang w:val="en-US"/>
        </w:rPr>
      </w:pPr>
      <w:r w:rsidRPr="0078499C">
        <w:rPr>
          <w:rFonts w:ascii="Arial" w:hAnsi="Arial" w:cs="Arial"/>
          <w:lang w:val="en-US"/>
        </w:rPr>
        <w:t xml:space="preserve">However, barriers remain. Mature markets in North America and Europe are dominated by established firms such as Informa, IDC, and </w:t>
      </w:r>
      <w:proofErr w:type="spellStart"/>
      <w:r w:rsidRPr="0078499C">
        <w:rPr>
          <w:rFonts w:ascii="Arial" w:hAnsi="Arial" w:cs="Arial"/>
          <w:lang w:val="en-US"/>
        </w:rPr>
        <w:t>Terrapinn</w:t>
      </w:r>
      <w:proofErr w:type="spellEnd"/>
      <w:r w:rsidRPr="0078499C">
        <w:rPr>
          <w:rFonts w:ascii="Arial" w:hAnsi="Arial" w:cs="Arial"/>
          <w:lang w:val="en-US"/>
        </w:rPr>
        <w:t xml:space="preserve">, forcing smaller companies to find niche opportunities. Visa restrictions, currency volatility, and compliance standards make global outreach difficult. Delegates expect engaging, respectful, and interactive conference experiences. Hybrid formatting </w:t>
      </w:r>
      <w:r w:rsidRPr="0078499C">
        <w:rPr>
          <w:rFonts w:ascii="Arial" w:hAnsi="Arial" w:cs="Arial"/>
          <w:lang w:val="en-US"/>
        </w:rPr>
        <w:lastRenderedPageBreak/>
        <w:t>allows ongoing interaction beyond the event date. Data analytics platforms support targeted content delivery and participant insights.</w:t>
      </w:r>
    </w:p>
    <w:p w14:paraId="2767A251" w14:textId="77777777" w:rsidR="00FE261F" w:rsidRPr="0078499C" w:rsidRDefault="00FE261F" w:rsidP="0078499C">
      <w:pPr>
        <w:spacing w:after="120" w:line="276" w:lineRule="auto"/>
        <w:jc w:val="center"/>
        <w:rPr>
          <w:rFonts w:ascii="Arial" w:hAnsi="Arial" w:cs="Arial"/>
          <w:b/>
          <w:bCs/>
          <w:caps/>
          <w:lang w:val="en-US"/>
        </w:rPr>
      </w:pPr>
      <w:r w:rsidRPr="0078499C">
        <w:rPr>
          <w:rFonts w:ascii="Arial" w:hAnsi="Arial" w:cs="Arial"/>
          <w:b/>
          <w:bCs/>
          <w:caps/>
          <w:lang w:val="en-US"/>
        </w:rPr>
        <w:t>About the Company</w:t>
      </w:r>
    </w:p>
    <w:p w14:paraId="4DCAB89E" w14:textId="77777777" w:rsidR="00FE261F" w:rsidRPr="0078499C" w:rsidRDefault="00FE261F" w:rsidP="0078499C">
      <w:pPr>
        <w:spacing w:after="120" w:line="276" w:lineRule="auto"/>
        <w:ind w:firstLine="720"/>
        <w:jc w:val="both"/>
        <w:rPr>
          <w:rFonts w:ascii="Arial" w:hAnsi="Arial" w:cs="Arial"/>
          <w:lang w:val="en-US"/>
        </w:rPr>
      </w:pPr>
      <w:r w:rsidRPr="0078499C">
        <w:rPr>
          <w:rFonts w:ascii="Arial" w:hAnsi="Arial" w:cs="Arial"/>
          <w:lang w:val="en-US"/>
        </w:rPr>
        <w:t>Synergy Sphere expanded from Southeast Asia to Africa and the Middle East by adapting to digital transformation trends. The firm specializes in conferences where global sponsors invest, and networking generates new business opportunities. It offers sessions in fast</w:t>
      </w:r>
      <w:r w:rsidRPr="0078499C">
        <w:rPr>
          <w:rFonts w:ascii="Cambria Math" w:hAnsi="Cambria Math" w:cs="Cambria Math"/>
          <w:lang w:val="en-US"/>
        </w:rPr>
        <w:t>‑</w:t>
      </w:r>
      <w:r w:rsidRPr="0078499C">
        <w:rPr>
          <w:rFonts w:ascii="Arial" w:hAnsi="Arial" w:cs="Arial"/>
          <w:lang w:val="en-US"/>
        </w:rPr>
        <w:t>changing domains such as fintech, cybersecurity, AI, and tech innovation. Figures from the case show geographical split: 50% events in Asia, 30% Middle East, and 20% Africa. Event volume rose from about five in 2018 to nearly twenty</w:t>
      </w:r>
      <w:r w:rsidRPr="0078499C">
        <w:rPr>
          <w:rFonts w:ascii="Cambria Math" w:hAnsi="Cambria Math" w:cs="Cambria Math"/>
          <w:lang w:val="en-US"/>
        </w:rPr>
        <w:t>‑</w:t>
      </w:r>
      <w:r w:rsidRPr="0078499C">
        <w:rPr>
          <w:rFonts w:ascii="Arial" w:hAnsi="Arial" w:cs="Arial"/>
          <w:lang w:val="en-US"/>
        </w:rPr>
        <w:t>five by 2024</w:t>
      </w:r>
    </w:p>
    <w:p w14:paraId="75197244" w14:textId="77777777" w:rsidR="00FE261F" w:rsidRPr="0078499C" w:rsidRDefault="00FE261F" w:rsidP="00CE1D15">
      <w:pPr>
        <w:spacing w:after="120" w:line="276" w:lineRule="auto"/>
        <w:ind w:firstLine="720"/>
        <w:jc w:val="both"/>
        <w:rPr>
          <w:rFonts w:ascii="Arial" w:hAnsi="Arial" w:cs="Arial"/>
          <w:lang w:val="en-US"/>
        </w:rPr>
      </w:pPr>
      <w:r w:rsidRPr="0078499C">
        <w:rPr>
          <w:rFonts w:ascii="Arial" w:hAnsi="Arial" w:cs="Arial"/>
          <w:lang w:val="en-US"/>
        </w:rPr>
        <w:t xml:space="preserve"> Despite strong growth, challenges persist. Delegate sales rely on persistent outreach and accurate timing. Operations require vendor reliability and cost control. Ayra discovered that senior executives can elevate conference visibility but are difficult to secure. Vendor disruptions—such as requests for new stage designs—create budget uncertainty and pressure. The company must build resilience through structured processes and clear expectations.</w:t>
      </w:r>
    </w:p>
    <w:p w14:paraId="6C4197FB" w14:textId="77777777" w:rsidR="00FE261F" w:rsidRPr="0078499C" w:rsidRDefault="00FE261F" w:rsidP="0078499C">
      <w:pPr>
        <w:spacing w:after="120" w:line="276" w:lineRule="auto"/>
        <w:jc w:val="center"/>
        <w:rPr>
          <w:rFonts w:ascii="Arial" w:hAnsi="Arial" w:cs="Arial"/>
          <w:b/>
          <w:bCs/>
          <w:caps/>
          <w:lang w:val="en-US"/>
        </w:rPr>
      </w:pPr>
      <w:r w:rsidRPr="0078499C">
        <w:rPr>
          <w:rFonts w:ascii="Arial" w:hAnsi="Arial" w:cs="Arial"/>
          <w:b/>
          <w:bCs/>
          <w:caps/>
          <w:lang w:val="en-US"/>
        </w:rPr>
        <w:t>Problems in the Industry</w:t>
      </w:r>
    </w:p>
    <w:p w14:paraId="2B706D00" w14:textId="77777777" w:rsidR="00FE261F" w:rsidRPr="0078499C" w:rsidRDefault="00FE261F" w:rsidP="00CE1D15">
      <w:pPr>
        <w:spacing w:after="120" w:line="276" w:lineRule="auto"/>
        <w:ind w:firstLine="720"/>
        <w:jc w:val="both"/>
        <w:rPr>
          <w:rFonts w:ascii="Arial" w:hAnsi="Arial" w:cs="Arial"/>
          <w:lang w:val="en-US"/>
        </w:rPr>
      </w:pPr>
      <w:r w:rsidRPr="0078499C">
        <w:rPr>
          <w:rFonts w:ascii="Arial" w:hAnsi="Arial" w:cs="Arial"/>
          <w:lang w:val="en-US"/>
        </w:rPr>
        <w:t>The case identifies multiple systemic issues across the B2B event landscape. Market power in mature countries makes entry difficult. Visa restrictions limit global delegate movement. Inflation and exchange</w:t>
      </w:r>
      <w:r w:rsidRPr="0078499C">
        <w:rPr>
          <w:rFonts w:ascii="Cambria Math" w:hAnsi="Cambria Math" w:cs="Cambria Math"/>
          <w:lang w:val="en-US"/>
        </w:rPr>
        <w:t>‑</w:t>
      </w:r>
      <w:r w:rsidRPr="0078499C">
        <w:rPr>
          <w:rFonts w:ascii="Arial" w:hAnsi="Arial" w:cs="Arial"/>
          <w:lang w:val="en-US"/>
        </w:rPr>
        <w:t xml:space="preserve">rate fluctuation influence sponsorship decisions. Compliance standards vary by region, and cultural barriers affect communication. Delegates expect differentiated, memorable experiences. Hybrid models create opportunities but require simultaneous digital and physical planning. </w:t>
      </w:r>
      <w:r w:rsidRPr="0078499C">
        <w:rPr>
          <w:rFonts w:ascii="Arial" w:hAnsi="Arial" w:cs="Arial"/>
          <w:lang w:val="en-US"/>
        </w:rPr>
        <w:t>These factors together form industry</w:t>
      </w:r>
      <w:r w:rsidRPr="0078499C">
        <w:rPr>
          <w:rFonts w:ascii="Cambria Math" w:hAnsi="Cambria Math" w:cs="Cambria Math"/>
          <w:lang w:val="en-US"/>
        </w:rPr>
        <w:t>‑</w:t>
      </w:r>
      <w:r w:rsidRPr="0078499C">
        <w:rPr>
          <w:rFonts w:ascii="Arial" w:hAnsi="Arial" w:cs="Arial"/>
          <w:lang w:val="en-US"/>
        </w:rPr>
        <w:t>wide instability.</w:t>
      </w:r>
    </w:p>
    <w:p w14:paraId="1312535F" w14:textId="77777777" w:rsidR="00FE261F" w:rsidRPr="0078499C" w:rsidRDefault="00FE261F" w:rsidP="0078499C">
      <w:pPr>
        <w:spacing w:after="120" w:line="276" w:lineRule="auto"/>
        <w:jc w:val="center"/>
        <w:rPr>
          <w:rFonts w:ascii="Arial" w:hAnsi="Arial" w:cs="Arial"/>
          <w:b/>
          <w:bCs/>
          <w:caps/>
          <w:lang w:val="en-US"/>
        </w:rPr>
      </w:pPr>
      <w:r w:rsidRPr="0078499C">
        <w:rPr>
          <w:rFonts w:ascii="Arial" w:hAnsi="Arial" w:cs="Arial"/>
          <w:b/>
          <w:bCs/>
          <w:caps/>
          <w:lang w:val="en-US"/>
        </w:rPr>
        <w:t>Problems Faced by the Company</w:t>
      </w:r>
    </w:p>
    <w:p w14:paraId="41152A18" w14:textId="77777777" w:rsidR="00FE261F" w:rsidRDefault="00FE261F" w:rsidP="0078499C">
      <w:pPr>
        <w:spacing w:after="120" w:line="276" w:lineRule="auto"/>
        <w:ind w:firstLine="720"/>
        <w:jc w:val="both"/>
        <w:rPr>
          <w:rFonts w:ascii="Arial" w:hAnsi="Arial" w:cs="Arial"/>
          <w:lang w:val="en-US"/>
        </w:rPr>
      </w:pPr>
      <w:r w:rsidRPr="0078499C">
        <w:rPr>
          <w:rFonts w:ascii="Arial" w:hAnsi="Arial" w:cs="Arial"/>
          <w:lang w:val="en-US"/>
        </w:rPr>
        <w:t>Ayra’s main challenge in delegate sales came from time</w:t>
      </w:r>
      <w:r w:rsidRPr="0078499C">
        <w:rPr>
          <w:rFonts w:ascii="Cambria Math" w:hAnsi="Cambria Math" w:cs="Cambria Math"/>
          <w:lang w:val="en-US"/>
        </w:rPr>
        <w:t>‑</w:t>
      </w:r>
      <w:r w:rsidRPr="0078499C">
        <w:rPr>
          <w:rFonts w:ascii="Arial" w:hAnsi="Arial" w:cs="Arial"/>
          <w:lang w:val="en-US"/>
        </w:rPr>
        <w:t>zone misalignment. Emails sent during Dubai office hours were buried by morning in Jakarta or Nairobi. Less than 15% of prospects responded, and fewer than 10% of senior executives confirmed attendance. In operations, vendor requests four days before an event caused an 8% cost increase and an unplanned USD 400 expense. Team leaders were unavailable, creating pressure. Each decision had trade</w:t>
      </w:r>
      <w:r w:rsidRPr="0078499C">
        <w:rPr>
          <w:rFonts w:ascii="Cambria Math" w:hAnsi="Cambria Math" w:cs="Cambria Math"/>
          <w:lang w:val="en-US"/>
        </w:rPr>
        <w:t>‑</w:t>
      </w:r>
      <w:r w:rsidRPr="0078499C">
        <w:rPr>
          <w:rFonts w:ascii="Arial" w:hAnsi="Arial" w:cs="Arial"/>
          <w:lang w:val="en-US"/>
        </w:rPr>
        <w:t>offs between budget, quality, and vendor relationships. The company lacked centralized response tracking, vendor lists, and scheduled pre</w:t>
      </w:r>
      <w:r w:rsidRPr="0078499C">
        <w:rPr>
          <w:rFonts w:ascii="Cambria Math" w:hAnsi="Cambria Math" w:cs="Cambria Math"/>
          <w:lang w:val="en-US"/>
        </w:rPr>
        <w:t>‑</w:t>
      </w:r>
      <w:r w:rsidRPr="0078499C">
        <w:rPr>
          <w:rFonts w:ascii="Arial" w:hAnsi="Arial" w:cs="Arial"/>
          <w:lang w:val="en-US"/>
        </w:rPr>
        <w:t>event planning systems.</w:t>
      </w:r>
    </w:p>
    <w:p w14:paraId="63FCB89A" w14:textId="77777777" w:rsidR="00FE261F" w:rsidRPr="0078499C" w:rsidRDefault="00FE261F" w:rsidP="0078499C">
      <w:pPr>
        <w:spacing w:after="120" w:line="276" w:lineRule="auto"/>
        <w:jc w:val="center"/>
        <w:rPr>
          <w:rFonts w:ascii="Arial" w:hAnsi="Arial" w:cs="Arial"/>
          <w:b/>
          <w:bCs/>
          <w:caps/>
          <w:lang w:val="en-US"/>
        </w:rPr>
      </w:pPr>
      <w:r w:rsidRPr="0078499C">
        <w:rPr>
          <w:rFonts w:ascii="Arial" w:hAnsi="Arial" w:cs="Arial"/>
          <w:b/>
          <w:bCs/>
          <w:caps/>
          <w:lang w:val="en-US"/>
        </w:rPr>
        <w:t>Academic Learning</w:t>
      </w:r>
    </w:p>
    <w:p w14:paraId="7142DCA3" w14:textId="77777777" w:rsidR="00FE261F" w:rsidRPr="0078499C" w:rsidRDefault="00FE261F" w:rsidP="006F09CC">
      <w:pPr>
        <w:spacing w:after="120" w:line="276" w:lineRule="auto"/>
        <w:ind w:firstLine="720"/>
        <w:jc w:val="both"/>
        <w:rPr>
          <w:rFonts w:ascii="Arial" w:hAnsi="Arial" w:cs="Arial"/>
          <w:lang w:val="en-US"/>
        </w:rPr>
      </w:pPr>
      <w:r w:rsidRPr="0078499C">
        <w:rPr>
          <w:rFonts w:ascii="Arial" w:hAnsi="Arial" w:cs="Arial"/>
          <w:lang w:val="en-US"/>
        </w:rPr>
        <w:t>Key managerial lessons include structured communication, operational resilience, and stakeholder mapping. Time</w:t>
      </w:r>
      <w:r w:rsidRPr="0078499C">
        <w:rPr>
          <w:rFonts w:ascii="Cambria Math" w:hAnsi="Cambria Math" w:cs="Cambria Math"/>
          <w:lang w:val="en-US"/>
        </w:rPr>
        <w:t>‑</w:t>
      </w:r>
      <w:r w:rsidRPr="0078499C">
        <w:rPr>
          <w:rFonts w:ascii="Arial" w:hAnsi="Arial" w:cs="Arial"/>
          <w:lang w:val="en-US"/>
        </w:rPr>
        <w:t>zone tracking and multichannel outreach improve delegate engagement. Vendor contingency planning reduces last</w:t>
      </w:r>
      <w:r w:rsidRPr="0078499C">
        <w:rPr>
          <w:rFonts w:ascii="Cambria Math" w:hAnsi="Cambria Math" w:cs="Cambria Math"/>
          <w:lang w:val="en-US"/>
        </w:rPr>
        <w:t>‑</w:t>
      </w:r>
      <w:r w:rsidRPr="0078499C">
        <w:rPr>
          <w:rFonts w:ascii="Arial" w:hAnsi="Arial" w:cs="Arial"/>
          <w:lang w:val="en-US"/>
        </w:rPr>
        <w:t>minute financial risks. The case reinforces MICE theory that personalization and hybrid engagement drive event success. Academic literature suggests clarity and frequency of communication improve conversion (Highhouse et al., 2020), digital tracking systems enhance HR and planning efficiency (Kumar &amp; Garg, 2021), and scheduled vendor meetings reduce execution vulnerability (Ulrich &amp; Dulebohn, 2018).</w:t>
      </w:r>
    </w:p>
    <w:p w14:paraId="2D173A40" w14:textId="77777777" w:rsidR="00FE261F" w:rsidRPr="0078499C" w:rsidRDefault="00FE261F" w:rsidP="0078499C">
      <w:pPr>
        <w:autoSpaceDE w:val="0"/>
        <w:autoSpaceDN w:val="0"/>
        <w:adjustRightInd w:val="0"/>
        <w:spacing w:after="120" w:line="276" w:lineRule="auto"/>
        <w:jc w:val="center"/>
        <w:rPr>
          <w:rFonts w:ascii="Arial" w:hAnsi="Arial" w:cs="Arial"/>
          <w:b/>
        </w:rPr>
      </w:pPr>
      <w:r w:rsidRPr="0078499C">
        <w:rPr>
          <w:rFonts w:ascii="Arial" w:hAnsi="Arial" w:cs="Arial"/>
          <w:b/>
        </w:rPr>
        <w:t>Ayra’s Shift in Strategy – Suggestions and Strategies</w:t>
      </w:r>
    </w:p>
    <w:p w14:paraId="6F22656A" w14:textId="77777777" w:rsidR="0078499C" w:rsidRDefault="00FE261F" w:rsidP="0078499C">
      <w:pPr>
        <w:autoSpaceDE w:val="0"/>
        <w:autoSpaceDN w:val="0"/>
        <w:adjustRightInd w:val="0"/>
        <w:spacing w:after="120" w:line="276" w:lineRule="auto"/>
        <w:ind w:firstLine="720"/>
        <w:jc w:val="both"/>
        <w:rPr>
          <w:rFonts w:ascii="Arial" w:hAnsi="Arial" w:cs="Arial"/>
          <w:lang w:val="en-US"/>
        </w:rPr>
      </w:pPr>
      <w:r w:rsidRPr="0078499C">
        <w:rPr>
          <w:rFonts w:ascii="Arial" w:hAnsi="Arial" w:cs="Arial"/>
          <w:lang w:val="en-US"/>
        </w:rPr>
        <w:t xml:space="preserve">Ayra came up with a systematic, new approach to solve the problems that kept recurring in delegate sales. Firstly, she avoided the random message sending and instead she planned delegates by time </w:t>
      </w:r>
      <w:r w:rsidRPr="0078499C">
        <w:rPr>
          <w:rFonts w:ascii="Arial" w:hAnsi="Arial" w:cs="Arial"/>
          <w:lang w:val="en-US"/>
        </w:rPr>
        <w:lastRenderedPageBreak/>
        <w:t xml:space="preserve">zones, thus ensuring that the communication reached them during their working hours. In her dealings with senior executives, she produced personalised messages that emphasized on the value of the conference and provided an option to attend. After the attempts with emails had failed, she made her reach wider by using WhatsApp, Viber, LinkedIn, etc., that is, the channels where delegates were more inclined to answer. </w:t>
      </w:r>
    </w:p>
    <w:p w14:paraId="15998E3E" w14:textId="77777777" w:rsidR="00FE261F" w:rsidRPr="0078499C" w:rsidRDefault="00FE261F" w:rsidP="0078499C">
      <w:pPr>
        <w:autoSpaceDE w:val="0"/>
        <w:autoSpaceDN w:val="0"/>
        <w:adjustRightInd w:val="0"/>
        <w:spacing w:after="120" w:line="276" w:lineRule="auto"/>
        <w:ind w:firstLine="720"/>
        <w:jc w:val="both"/>
        <w:rPr>
          <w:rFonts w:ascii="Arial" w:hAnsi="Arial" w:cs="Arial"/>
          <w:lang w:val="en-US"/>
        </w:rPr>
      </w:pPr>
      <w:r w:rsidRPr="0078499C">
        <w:rPr>
          <w:rFonts w:ascii="Arial" w:hAnsi="Arial" w:cs="Arial"/>
          <w:lang w:val="en-US"/>
        </w:rPr>
        <w:t xml:space="preserve">Having a centralized response tracker in place, she could capture prospects together with their time zones, follow-up history, </w:t>
      </w:r>
      <w:proofErr w:type="gramStart"/>
      <w:r w:rsidRPr="0078499C">
        <w:rPr>
          <w:rFonts w:ascii="Arial" w:hAnsi="Arial" w:cs="Arial"/>
          <w:lang w:val="en-US"/>
        </w:rPr>
        <w:t>and  preferred</w:t>
      </w:r>
      <w:proofErr w:type="gramEnd"/>
      <w:r w:rsidRPr="0078499C">
        <w:rPr>
          <w:rFonts w:ascii="Arial" w:hAnsi="Arial" w:cs="Arial"/>
          <w:lang w:val="en-US"/>
        </w:rPr>
        <w:t xml:space="preserve"> communication methods. Coming to the operations department, the quality they needed the most was resilience. Ayra teamed up with her team and came up with a list of reliable backup vendors to decrease the number of single sources they heavily depended on. They came up with the idea of a compulsory three-day buffer before events for handling last-minute issues. The events with vendors, performers, and internal teams just before the event were very instrumental in setting expectations clearly and also witnessing potential issues in their nascent stages.</w:t>
      </w:r>
    </w:p>
    <w:p w14:paraId="3EF2A861" w14:textId="77777777" w:rsidR="00FE261F" w:rsidRPr="0078499C" w:rsidRDefault="00FE261F" w:rsidP="0078499C">
      <w:pPr>
        <w:spacing w:after="120" w:line="276" w:lineRule="auto"/>
        <w:jc w:val="center"/>
        <w:rPr>
          <w:rFonts w:ascii="Arial" w:hAnsi="Arial" w:cs="Arial"/>
          <w:b/>
          <w:bCs/>
          <w:caps/>
          <w:lang w:val="en-US"/>
        </w:rPr>
      </w:pPr>
      <w:r w:rsidRPr="0078499C">
        <w:rPr>
          <w:rFonts w:ascii="Arial" w:hAnsi="Arial" w:cs="Arial"/>
          <w:b/>
          <w:bCs/>
          <w:caps/>
          <w:lang w:val="en-US"/>
        </w:rPr>
        <w:t>Conclusion</w:t>
      </w:r>
    </w:p>
    <w:p w14:paraId="7E32727E" w14:textId="77777777" w:rsidR="00FE261F" w:rsidRPr="0078499C" w:rsidRDefault="00FE261F" w:rsidP="006F09CC">
      <w:pPr>
        <w:spacing w:after="120" w:line="276" w:lineRule="auto"/>
        <w:ind w:firstLine="720"/>
        <w:jc w:val="both"/>
        <w:rPr>
          <w:rFonts w:ascii="Arial" w:hAnsi="Arial" w:cs="Arial"/>
          <w:lang w:val="en-US"/>
        </w:rPr>
      </w:pPr>
      <w:r w:rsidRPr="0078499C">
        <w:rPr>
          <w:rFonts w:ascii="Arial" w:hAnsi="Arial" w:cs="Arial"/>
          <w:lang w:val="en-US"/>
        </w:rPr>
        <w:t>Simple structured interventions significantly reduced uncertainty and improved performance in delegate sales and operations. Personalized messaging, hybrid outreach platforms, and buffer periods helped minimize disruption. The case demonstrates strategic value in resilience, resource planning, and communication discipline for global B2B events.</w:t>
      </w:r>
    </w:p>
    <w:p w14:paraId="705F4322" w14:textId="77777777" w:rsidR="00FE261F" w:rsidRPr="0078499C" w:rsidRDefault="00FE261F" w:rsidP="0078499C">
      <w:pPr>
        <w:spacing w:after="120" w:line="276" w:lineRule="auto"/>
        <w:jc w:val="center"/>
        <w:rPr>
          <w:rFonts w:ascii="Arial" w:hAnsi="Arial" w:cs="Arial"/>
          <w:b/>
          <w:bCs/>
          <w:caps/>
          <w:lang w:val="en-US"/>
        </w:rPr>
      </w:pPr>
      <w:r w:rsidRPr="0078499C">
        <w:rPr>
          <w:rFonts w:ascii="Arial" w:hAnsi="Arial" w:cs="Arial"/>
          <w:b/>
          <w:bCs/>
          <w:caps/>
          <w:lang w:val="en-US"/>
        </w:rPr>
        <w:t>Case Questions</w:t>
      </w:r>
    </w:p>
    <w:p w14:paraId="119F56D5" w14:textId="77777777" w:rsidR="0078499C" w:rsidRDefault="00FE261F" w:rsidP="0078499C">
      <w:pPr>
        <w:spacing w:after="120" w:line="276" w:lineRule="auto"/>
        <w:jc w:val="both"/>
        <w:rPr>
          <w:rFonts w:ascii="Arial" w:hAnsi="Arial" w:cs="Arial"/>
          <w:lang w:val="en-US"/>
        </w:rPr>
      </w:pPr>
      <w:r w:rsidRPr="0078499C">
        <w:rPr>
          <w:rFonts w:ascii="Arial" w:hAnsi="Arial" w:cs="Arial"/>
          <w:lang w:val="en-US"/>
        </w:rPr>
        <w:t>How can time</w:t>
      </w:r>
      <w:r w:rsidRPr="0078499C">
        <w:rPr>
          <w:rFonts w:ascii="Cambria Math" w:hAnsi="Cambria Math" w:cs="Cambria Math"/>
          <w:lang w:val="en-US"/>
        </w:rPr>
        <w:t>‑</w:t>
      </w:r>
      <w:r w:rsidRPr="0078499C">
        <w:rPr>
          <w:rFonts w:ascii="Arial" w:hAnsi="Arial" w:cs="Arial"/>
          <w:lang w:val="en-US"/>
        </w:rPr>
        <w:t>zone mapping improve delegate engagement?</w:t>
      </w:r>
    </w:p>
    <w:p w14:paraId="28D2D703" w14:textId="77777777" w:rsidR="0078499C" w:rsidRDefault="00FE261F" w:rsidP="0078499C">
      <w:pPr>
        <w:spacing w:after="120" w:line="276" w:lineRule="auto"/>
        <w:jc w:val="both"/>
        <w:rPr>
          <w:rFonts w:ascii="Arial" w:hAnsi="Arial" w:cs="Arial"/>
          <w:lang w:val="en-US"/>
        </w:rPr>
      </w:pPr>
      <w:r w:rsidRPr="0078499C">
        <w:rPr>
          <w:rFonts w:ascii="Arial" w:hAnsi="Arial" w:cs="Arial"/>
          <w:lang w:val="en-US"/>
        </w:rPr>
        <w:t>What vendor contingency mechanisms reduce financial risk?</w:t>
      </w:r>
    </w:p>
    <w:p w14:paraId="3B8F5952" w14:textId="77777777" w:rsidR="0078499C" w:rsidRDefault="00FE261F" w:rsidP="0078499C">
      <w:pPr>
        <w:spacing w:after="120" w:line="276" w:lineRule="auto"/>
        <w:jc w:val="both"/>
        <w:rPr>
          <w:rFonts w:ascii="Arial" w:hAnsi="Arial" w:cs="Arial"/>
          <w:lang w:val="en-US"/>
        </w:rPr>
      </w:pPr>
      <w:r w:rsidRPr="0078499C">
        <w:rPr>
          <w:rFonts w:ascii="Arial" w:hAnsi="Arial" w:cs="Arial"/>
          <w:lang w:val="en-US"/>
        </w:rPr>
        <w:t>How can hybrid outreach increase conversion?</w:t>
      </w:r>
    </w:p>
    <w:p w14:paraId="0562605B" w14:textId="77777777" w:rsidR="0078499C" w:rsidRDefault="00FE261F" w:rsidP="0078499C">
      <w:pPr>
        <w:spacing w:after="120" w:line="276" w:lineRule="auto"/>
        <w:jc w:val="both"/>
        <w:rPr>
          <w:rFonts w:ascii="Arial" w:hAnsi="Arial" w:cs="Arial"/>
          <w:lang w:val="en-US"/>
        </w:rPr>
      </w:pPr>
      <w:r w:rsidRPr="0078499C">
        <w:rPr>
          <w:rFonts w:ascii="Arial" w:hAnsi="Arial" w:cs="Arial"/>
          <w:lang w:val="en-US"/>
        </w:rPr>
        <w:t>What tracking metrics should be used?</w:t>
      </w:r>
    </w:p>
    <w:p w14:paraId="2A173410" w14:textId="77777777" w:rsidR="00FE261F" w:rsidRPr="0078499C" w:rsidRDefault="00FE261F" w:rsidP="0078499C">
      <w:pPr>
        <w:spacing w:after="120" w:line="276" w:lineRule="auto"/>
        <w:jc w:val="both"/>
        <w:rPr>
          <w:rFonts w:ascii="Arial" w:hAnsi="Arial" w:cs="Arial"/>
          <w:lang w:val="en-US"/>
        </w:rPr>
      </w:pPr>
      <w:r w:rsidRPr="0078499C">
        <w:rPr>
          <w:rFonts w:ascii="Arial" w:hAnsi="Arial" w:cs="Arial"/>
          <w:lang w:val="en-US"/>
        </w:rPr>
        <w:t>What academic theories support hybrid event planning?</w:t>
      </w:r>
    </w:p>
    <w:p w14:paraId="57351BB5" w14:textId="77777777" w:rsidR="007E70F3" w:rsidRPr="0078499C" w:rsidRDefault="007E70F3" w:rsidP="0078499C">
      <w:pPr>
        <w:spacing w:after="120" w:line="276" w:lineRule="auto"/>
        <w:jc w:val="center"/>
        <w:rPr>
          <w:rFonts w:ascii="Arial" w:hAnsi="Arial" w:cs="Arial"/>
          <w:b/>
          <w:caps/>
        </w:rPr>
      </w:pPr>
      <w:r w:rsidRPr="0078499C">
        <w:rPr>
          <w:rFonts w:ascii="Arial" w:hAnsi="Arial" w:cs="Arial"/>
          <w:b/>
          <w:caps/>
        </w:rPr>
        <w:t>References</w:t>
      </w:r>
    </w:p>
    <w:p w14:paraId="2B74DD0D" w14:textId="77777777" w:rsidR="00042FF0" w:rsidRPr="006F09CC" w:rsidRDefault="00042FF0" w:rsidP="00712CE2">
      <w:pPr>
        <w:spacing w:after="120" w:line="276" w:lineRule="auto"/>
        <w:ind w:left="720" w:hanging="630"/>
        <w:jc w:val="both"/>
        <w:rPr>
          <w:rFonts w:ascii="Arial" w:hAnsi="Arial" w:cs="Arial"/>
        </w:rPr>
      </w:pPr>
      <w:proofErr w:type="spellStart"/>
      <w:r w:rsidRPr="006F09CC">
        <w:rPr>
          <w:rFonts w:ascii="Arial" w:hAnsi="Arial" w:cs="Arial"/>
        </w:rPr>
        <w:t>GlobNewswire</w:t>
      </w:r>
      <w:proofErr w:type="spellEnd"/>
      <w:r w:rsidRPr="006F09CC">
        <w:rPr>
          <w:rFonts w:ascii="Arial" w:hAnsi="Arial" w:cs="Arial"/>
        </w:rPr>
        <w:t>. (2024, June 12). Event and exhibition market projected to offer USD</w:t>
      </w:r>
      <w:r w:rsidR="00712CE2">
        <w:rPr>
          <w:rFonts w:ascii="Arial" w:hAnsi="Arial" w:cs="Arial"/>
        </w:rPr>
        <w:t xml:space="preserve"> </w:t>
      </w:r>
      <w:r w:rsidRPr="006F09CC">
        <w:rPr>
          <w:rFonts w:ascii="Arial" w:hAnsi="Arial" w:cs="Arial"/>
        </w:rPr>
        <w:t xml:space="preserve">58.96 billion revenue opportunity by 2032. Retrieved from </w:t>
      </w:r>
      <w:proofErr w:type="spellStart"/>
      <w:r w:rsidRPr="006F09CC">
        <w:rPr>
          <w:rFonts w:ascii="Arial" w:hAnsi="Arial" w:cs="Arial"/>
        </w:rPr>
        <w:t>GlobalNewswire</w:t>
      </w:r>
      <w:proofErr w:type="spellEnd"/>
    </w:p>
    <w:p w14:paraId="3D50FD96" w14:textId="77777777" w:rsidR="00042FF0" w:rsidRPr="006F09CC" w:rsidRDefault="00042FF0" w:rsidP="00712CE2">
      <w:pPr>
        <w:spacing w:after="120" w:line="276" w:lineRule="auto"/>
        <w:ind w:left="720" w:hanging="630"/>
        <w:jc w:val="both"/>
        <w:rPr>
          <w:rFonts w:ascii="Arial" w:hAnsi="Arial" w:cs="Arial"/>
        </w:rPr>
      </w:pPr>
      <w:r w:rsidRPr="006F09CC">
        <w:rPr>
          <w:rFonts w:ascii="Arial" w:hAnsi="Arial" w:cs="Arial"/>
        </w:rPr>
        <w:t>Global Growth Insights. (2025). MICE market growth &amp; outlook 2034: Restraints and</w:t>
      </w:r>
      <w:r w:rsidR="00712CE2">
        <w:rPr>
          <w:rFonts w:ascii="Arial" w:hAnsi="Arial" w:cs="Arial"/>
        </w:rPr>
        <w:t xml:space="preserve"> </w:t>
      </w:r>
      <w:r w:rsidRPr="006F09CC">
        <w:rPr>
          <w:rFonts w:ascii="Arial" w:hAnsi="Arial" w:cs="Arial"/>
        </w:rPr>
        <w:t>challenges. Retrieved from www.GlobalGrowthInsights.com</w:t>
      </w:r>
    </w:p>
    <w:p w14:paraId="671D305E" w14:textId="77777777" w:rsidR="00042FF0" w:rsidRPr="006F09CC" w:rsidRDefault="00042FF0" w:rsidP="006F09CC">
      <w:pPr>
        <w:spacing w:after="120" w:line="276" w:lineRule="auto"/>
        <w:ind w:left="720" w:hanging="630"/>
        <w:jc w:val="both"/>
        <w:rPr>
          <w:rFonts w:ascii="Arial" w:hAnsi="Arial" w:cs="Arial"/>
        </w:rPr>
      </w:pPr>
      <w:r w:rsidRPr="006F09CC">
        <w:rPr>
          <w:rFonts w:ascii="Arial" w:hAnsi="Arial" w:cs="Arial"/>
        </w:rPr>
        <w:t>Marketing Trends Online. (2024). Top seven B2B event trends shaping 2024–2025.</w:t>
      </w:r>
    </w:p>
    <w:p w14:paraId="65D56DEC" w14:textId="77777777" w:rsidR="00042FF0" w:rsidRPr="006F09CC" w:rsidRDefault="00042FF0" w:rsidP="006F09CC">
      <w:pPr>
        <w:spacing w:after="120" w:line="276" w:lineRule="auto"/>
        <w:ind w:left="720" w:hanging="630"/>
        <w:jc w:val="both"/>
        <w:rPr>
          <w:rFonts w:ascii="Arial" w:hAnsi="Arial" w:cs="Arial"/>
        </w:rPr>
      </w:pPr>
      <w:r w:rsidRPr="006F09CC">
        <w:rPr>
          <w:rFonts w:ascii="Arial" w:hAnsi="Arial" w:cs="Arial"/>
        </w:rPr>
        <w:t>Retrieved from www.marketingtrendsonline.com</w:t>
      </w:r>
    </w:p>
    <w:p w14:paraId="47E6E687" w14:textId="77777777" w:rsidR="00042FF0" w:rsidRPr="006F09CC" w:rsidRDefault="00042FF0" w:rsidP="00712CE2">
      <w:pPr>
        <w:spacing w:after="120" w:line="276" w:lineRule="auto"/>
        <w:ind w:left="720" w:hanging="630"/>
        <w:jc w:val="both"/>
        <w:rPr>
          <w:rFonts w:ascii="Arial" w:hAnsi="Arial" w:cs="Arial"/>
        </w:rPr>
      </w:pPr>
      <w:r w:rsidRPr="006F09CC">
        <w:rPr>
          <w:rFonts w:ascii="Arial" w:hAnsi="Arial" w:cs="Arial"/>
        </w:rPr>
        <w:t>Cvent. (2023). 2023 event industry report: Trends shaping the meetings and events</w:t>
      </w:r>
      <w:r w:rsidR="00712CE2">
        <w:rPr>
          <w:rFonts w:ascii="Arial" w:hAnsi="Arial" w:cs="Arial"/>
        </w:rPr>
        <w:t xml:space="preserve"> </w:t>
      </w:r>
      <w:r w:rsidRPr="006F09CC">
        <w:rPr>
          <w:rFonts w:ascii="Arial" w:hAnsi="Arial" w:cs="Arial"/>
        </w:rPr>
        <w:t>landscape. Cvent. https://www.cvent.com</w:t>
      </w:r>
    </w:p>
    <w:p w14:paraId="0026A330" w14:textId="77777777" w:rsidR="00042FF0" w:rsidRPr="007D5194" w:rsidRDefault="00042FF0" w:rsidP="006F09CC">
      <w:pPr>
        <w:spacing w:after="120" w:line="276" w:lineRule="auto"/>
        <w:ind w:left="720" w:hanging="630"/>
        <w:jc w:val="both"/>
        <w:rPr>
          <w:rFonts w:ascii="Arial" w:hAnsi="Arial" w:cs="Arial"/>
          <w:lang w:val="pl-PL"/>
        </w:rPr>
      </w:pPr>
      <w:r w:rsidRPr="006F09CC">
        <w:rPr>
          <w:rFonts w:ascii="Arial" w:hAnsi="Arial" w:cs="Arial"/>
        </w:rPr>
        <w:t xml:space="preserve">Informa. (2022). Annual report and accounts 2022. </w:t>
      </w:r>
      <w:r w:rsidRPr="007D5194">
        <w:rPr>
          <w:rFonts w:ascii="Arial" w:hAnsi="Arial" w:cs="Arial"/>
          <w:lang w:val="pl-PL"/>
        </w:rPr>
        <w:t>Informa PLC.</w:t>
      </w:r>
    </w:p>
    <w:p w14:paraId="654F0941" w14:textId="77777777" w:rsidR="00042FF0" w:rsidRPr="007D5194" w:rsidRDefault="00042FF0" w:rsidP="006F09CC">
      <w:pPr>
        <w:spacing w:after="120" w:line="276" w:lineRule="auto"/>
        <w:ind w:left="720" w:hanging="630"/>
        <w:jc w:val="both"/>
        <w:rPr>
          <w:rFonts w:ascii="Arial" w:hAnsi="Arial" w:cs="Arial"/>
          <w:lang w:val="pl-PL"/>
        </w:rPr>
      </w:pPr>
      <w:r w:rsidRPr="007D5194">
        <w:rPr>
          <w:rFonts w:ascii="Arial" w:hAnsi="Arial" w:cs="Arial"/>
          <w:lang w:val="pl-PL"/>
        </w:rPr>
        <w:t>https://www.informa.com</w:t>
      </w:r>
    </w:p>
    <w:p w14:paraId="2422F1E3" w14:textId="77777777" w:rsidR="00042FF0" w:rsidRPr="006F09CC" w:rsidRDefault="00042FF0" w:rsidP="00712CE2">
      <w:pPr>
        <w:spacing w:after="120" w:line="276" w:lineRule="auto"/>
        <w:ind w:left="720" w:hanging="630"/>
        <w:jc w:val="both"/>
        <w:rPr>
          <w:rFonts w:ascii="Arial" w:hAnsi="Arial" w:cs="Arial"/>
        </w:rPr>
      </w:pPr>
      <w:r w:rsidRPr="006F09CC">
        <w:rPr>
          <w:rFonts w:ascii="Arial" w:hAnsi="Arial" w:cs="Arial"/>
        </w:rPr>
        <w:t>International Congress and Convention Association (ICCA). (2023). ICCA statistics</w:t>
      </w:r>
      <w:r w:rsidR="00712CE2">
        <w:rPr>
          <w:rFonts w:ascii="Arial" w:hAnsi="Arial" w:cs="Arial"/>
        </w:rPr>
        <w:t xml:space="preserve"> </w:t>
      </w:r>
      <w:r w:rsidRPr="006F09CC">
        <w:rPr>
          <w:rFonts w:ascii="Arial" w:hAnsi="Arial" w:cs="Arial"/>
        </w:rPr>
        <w:t>report: Country &amp; city rankings. ICCA. https://www.iccaworld.org</w:t>
      </w:r>
    </w:p>
    <w:p w14:paraId="6BA64936" w14:textId="77777777" w:rsidR="00042FF0" w:rsidRPr="006F09CC" w:rsidRDefault="00042FF0" w:rsidP="00712CE2">
      <w:pPr>
        <w:spacing w:after="120" w:line="276" w:lineRule="auto"/>
        <w:ind w:left="720" w:hanging="630"/>
        <w:jc w:val="both"/>
        <w:rPr>
          <w:rFonts w:ascii="Arial" w:hAnsi="Arial" w:cs="Arial"/>
        </w:rPr>
      </w:pPr>
      <w:r w:rsidRPr="006F09CC">
        <w:rPr>
          <w:rFonts w:ascii="Arial" w:hAnsi="Arial" w:cs="Arial"/>
        </w:rPr>
        <w:t>Skift Meetings. (2023). State of the event industry: Global trends and insights. Skift.</w:t>
      </w:r>
      <w:r w:rsidR="00712CE2">
        <w:rPr>
          <w:rFonts w:ascii="Arial" w:hAnsi="Arial" w:cs="Arial"/>
        </w:rPr>
        <w:t xml:space="preserve"> </w:t>
      </w:r>
      <w:r w:rsidRPr="006F09CC">
        <w:rPr>
          <w:rFonts w:ascii="Arial" w:hAnsi="Arial" w:cs="Arial"/>
        </w:rPr>
        <w:t>https://meetings.skift.com</w:t>
      </w:r>
    </w:p>
    <w:p w14:paraId="65537BD9" w14:textId="77777777" w:rsidR="00042FF0" w:rsidRPr="006F09CC" w:rsidRDefault="00042FF0" w:rsidP="006F09CC">
      <w:pPr>
        <w:spacing w:after="120" w:line="276" w:lineRule="auto"/>
        <w:ind w:left="720" w:hanging="630"/>
        <w:jc w:val="both"/>
        <w:rPr>
          <w:rFonts w:ascii="Arial" w:hAnsi="Arial" w:cs="Arial"/>
        </w:rPr>
      </w:pPr>
      <w:proofErr w:type="spellStart"/>
      <w:r w:rsidRPr="006F09CC">
        <w:rPr>
          <w:rFonts w:ascii="Arial" w:hAnsi="Arial" w:cs="Arial"/>
        </w:rPr>
        <w:t>Terrapinn</w:t>
      </w:r>
      <w:proofErr w:type="spellEnd"/>
      <w:r w:rsidRPr="006F09CC">
        <w:rPr>
          <w:rFonts w:ascii="Arial" w:hAnsi="Arial" w:cs="Arial"/>
        </w:rPr>
        <w:t xml:space="preserve">. (2022). About </w:t>
      </w:r>
      <w:proofErr w:type="spellStart"/>
      <w:r w:rsidRPr="006F09CC">
        <w:rPr>
          <w:rFonts w:ascii="Arial" w:hAnsi="Arial" w:cs="Arial"/>
        </w:rPr>
        <w:t>Terrapinn</w:t>
      </w:r>
      <w:proofErr w:type="spellEnd"/>
      <w:r w:rsidRPr="006F09CC">
        <w:rPr>
          <w:rFonts w:ascii="Arial" w:hAnsi="Arial" w:cs="Arial"/>
        </w:rPr>
        <w:t>: Innovating conferences and exhibitions.</w:t>
      </w:r>
    </w:p>
    <w:p w14:paraId="4EC32EF0" w14:textId="77777777" w:rsidR="00C05C58" w:rsidRDefault="00042FF0" w:rsidP="006F09CC">
      <w:pPr>
        <w:spacing w:after="120" w:line="276" w:lineRule="auto"/>
        <w:ind w:left="720" w:hanging="630"/>
        <w:jc w:val="both"/>
        <w:rPr>
          <w:rFonts w:ascii="Arial" w:hAnsi="Arial" w:cs="Arial"/>
        </w:rPr>
      </w:pPr>
      <w:proofErr w:type="spellStart"/>
      <w:r w:rsidRPr="006F09CC">
        <w:rPr>
          <w:rFonts w:ascii="Arial" w:hAnsi="Arial" w:cs="Arial"/>
        </w:rPr>
        <w:t>Terrapinn</w:t>
      </w:r>
      <w:proofErr w:type="spellEnd"/>
      <w:r w:rsidRPr="006F09CC">
        <w:rPr>
          <w:rFonts w:ascii="Arial" w:hAnsi="Arial" w:cs="Arial"/>
        </w:rPr>
        <w:t xml:space="preserve">. </w:t>
      </w:r>
      <w:hyperlink r:id="rId11" w:history="1">
        <w:r w:rsidR="00CE1D15" w:rsidRPr="00654DC3">
          <w:rPr>
            <w:rStyle w:val="Hyperlink"/>
            <w:rFonts w:ascii="Arial" w:hAnsi="Arial" w:cs="Arial"/>
          </w:rPr>
          <w:t>https://www.terrapinn.com</w:t>
        </w:r>
      </w:hyperlink>
    </w:p>
    <w:p w14:paraId="30EC97BD" w14:textId="77777777" w:rsidR="00CE1D15" w:rsidRDefault="00CE1D15" w:rsidP="006F09CC">
      <w:pPr>
        <w:spacing w:after="120" w:line="276" w:lineRule="auto"/>
        <w:ind w:left="720" w:hanging="630"/>
        <w:jc w:val="both"/>
        <w:rPr>
          <w:rFonts w:ascii="Arial" w:hAnsi="Arial" w:cs="Arial"/>
        </w:rPr>
      </w:pPr>
    </w:p>
    <w:p w14:paraId="7F85EC5F" w14:textId="77777777" w:rsidR="00CE1D15" w:rsidRDefault="00CE1D15" w:rsidP="006F09CC">
      <w:pPr>
        <w:spacing w:after="120" w:line="276" w:lineRule="auto"/>
        <w:ind w:left="720" w:hanging="630"/>
        <w:jc w:val="both"/>
        <w:rPr>
          <w:rFonts w:ascii="Arial" w:hAnsi="Arial" w:cs="Arial"/>
        </w:rPr>
        <w:sectPr w:rsidR="00CE1D15" w:rsidSect="008926D7">
          <w:headerReference w:type="default" r:id="rId12"/>
          <w:type w:val="continuous"/>
          <w:pgSz w:w="11906" w:h="16838" w:code="9"/>
          <w:pgMar w:top="1440" w:right="1440" w:bottom="1440" w:left="1440" w:header="1008" w:footer="706" w:gutter="0"/>
          <w:pgNumType w:start="75"/>
          <w:cols w:num="2" w:space="708"/>
          <w:docGrid w:linePitch="360"/>
        </w:sectPr>
      </w:pPr>
    </w:p>
    <w:p w14:paraId="4FC9F9FD" w14:textId="77777777" w:rsidR="007D5252" w:rsidRDefault="007D5252" w:rsidP="00CE1D15">
      <w:pPr>
        <w:spacing w:after="120" w:line="276" w:lineRule="auto"/>
        <w:jc w:val="center"/>
        <w:rPr>
          <w:rFonts w:ascii="Arial" w:hAnsi="Arial" w:cs="Arial"/>
        </w:rPr>
      </w:pPr>
    </w:p>
    <w:p w14:paraId="128833F5" w14:textId="77777777" w:rsidR="00CE1D15" w:rsidRPr="0078499C" w:rsidRDefault="00CE1D15" w:rsidP="00CE1D15">
      <w:pPr>
        <w:spacing w:after="120" w:line="276" w:lineRule="auto"/>
        <w:jc w:val="center"/>
        <w:rPr>
          <w:rFonts w:ascii="Arial" w:hAnsi="Arial" w:cs="Arial"/>
          <w:lang w:val="en-US"/>
        </w:rPr>
      </w:pPr>
      <w:r w:rsidRPr="0078499C">
        <w:rPr>
          <w:rFonts w:ascii="Arial" w:hAnsi="Arial" w:cs="Arial"/>
        </w:rPr>
        <w:t>Figure 1 Growth in number of Events hosted over the Years</w:t>
      </w:r>
    </w:p>
    <w:p w14:paraId="0E3DF7B4" w14:textId="77777777" w:rsidR="00CE1D15" w:rsidRPr="0078499C" w:rsidRDefault="00CE1D15" w:rsidP="00CE1D15">
      <w:pPr>
        <w:spacing w:after="120" w:line="276" w:lineRule="auto"/>
        <w:jc w:val="center"/>
        <w:rPr>
          <w:rFonts w:ascii="Arial" w:hAnsi="Arial" w:cs="Arial"/>
          <w:lang w:val="en-US"/>
        </w:rPr>
      </w:pPr>
      <w:r w:rsidRPr="0078499C">
        <w:rPr>
          <w:rFonts w:ascii="Arial" w:hAnsi="Arial" w:cs="Arial"/>
          <w:noProof/>
          <w:lang w:eastAsia="en-IN"/>
        </w:rPr>
        <w:drawing>
          <wp:inline distT="0" distB="0" distL="0" distR="0" wp14:anchorId="691F021C" wp14:editId="65A0EBFF">
            <wp:extent cx="3644368" cy="2332264"/>
            <wp:effectExtent l="19050" t="19050" r="1333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8013" cy="2360196"/>
                    </a:xfrm>
                    <a:prstGeom prst="rect">
                      <a:avLst/>
                    </a:prstGeom>
                    <a:noFill/>
                    <a:ln>
                      <a:solidFill>
                        <a:schemeClr val="tx1"/>
                      </a:solidFill>
                    </a:ln>
                  </pic:spPr>
                </pic:pic>
              </a:graphicData>
            </a:graphic>
          </wp:inline>
        </w:drawing>
      </w:r>
    </w:p>
    <w:p w14:paraId="7A54629E" w14:textId="77777777" w:rsidR="00CE1D15" w:rsidRDefault="00CE1D15" w:rsidP="00CE1D15">
      <w:pPr>
        <w:spacing w:after="120" w:line="276" w:lineRule="auto"/>
        <w:jc w:val="center"/>
        <w:rPr>
          <w:rFonts w:ascii="Arial" w:hAnsi="Arial" w:cs="Arial"/>
        </w:rPr>
      </w:pPr>
    </w:p>
    <w:p w14:paraId="12584A60" w14:textId="77777777" w:rsidR="00CE1D15" w:rsidRPr="0078499C" w:rsidRDefault="00CE1D15" w:rsidP="00CE1D15">
      <w:pPr>
        <w:spacing w:after="120" w:line="276" w:lineRule="auto"/>
        <w:jc w:val="center"/>
        <w:rPr>
          <w:rFonts w:ascii="Arial" w:hAnsi="Arial" w:cs="Arial"/>
          <w:lang w:val="en-US"/>
        </w:rPr>
      </w:pPr>
      <w:r w:rsidRPr="0078499C">
        <w:rPr>
          <w:rFonts w:ascii="Arial" w:hAnsi="Arial" w:cs="Arial"/>
        </w:rPr>
        <w:t>Figure 2: The major contributing zones to the company</w:t>
      </w:r>
    </w:p>
    <w:p w14:paraId="602A0BD5" w14:textId="77777777" w:rsidR="00CE1D15" w:rsidRPr="0078499C" w:rsidRDefault="00CE1D15" w:rsidP="00CE1D15">
      <w:pPr>
        <w:spacing w:after="120" w:line="276" w:lineRule="auto"/>
        <w:jc w:val="center"/>
        <w:rPr>
          <w:rFonts w:ascii="Arial" w:hAnsi="Arial" w:cs="Arial"/>
          <w:lang w:val="en-US"/>
        </w:rPr>
      </w:pPr>
      <w:r w:rsidRPr="0078499C">
        <w:rPr>
          <w:rFonts w:ascii="Arial" w:hAnsi="Arial" w:cs="Arial"/>
          <w:lang w:val="en-US"/>
        </w:rPr>
        <w:t xml:space="preserve">. </w:t>
      </w:r>
      <w:r w:rsidRPr="0078499C">
        <w:rPr>
          <w:rFonts w:ascii="Arial" w:hAnsi="Arial" w:cs="Arial"/>
          <w:noProof/>
          <w:lang w:eastAsia="en-IN"/>
        </w:rPr>
        <w:drawing>
          <wp:inline distT="0" distB="0" distL="0" distR="0" wp14:anchorId="698A9131" wp14:editId="03F0F2CD">
            <wp:extent cx="3567298" cy="3407135"/>
            <wp:effectExtent l="19050" t="19050" r="14605"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3185" cy="3470064"/>
                    </a:xfrm>
                    <a:prstGeom prst="rect">
                      <a:avLst/>
                    </a:prstGeom>
                    <a:noFill/>
                    <a:ln>
                      <a:solidFill>
                        <a:schemeClr val="tx1"/>
                      </a:solidFill>
                    </a:ln>
                  </pic:spPr>
                </pic:pic>
              </a:graphicData>
            </a:graphic>
          </wp:inline>
        </w:drawing>
      </w:r>
    </w:p>
    <w:p w14:paraId="4814C4BE" w14:textId="77777777" w:rsidR="00CE1D15" w:rsidRPr="006F09CC" w:rsidRDefault="00CE1D15" w:rsidP="00CE1D15">
      <w:pPr>
        <w:spacing w:after="120" w:line="276" w:lineRule="auto"/>
        <w:ind w:left="720" w:hanging="630"/>
        <w:jc w:val="center"/>
        <w:rPr>
          <w:rFonts w:ascii="Arial" w:hAnsi="Arial" w:cs="Arial"/>
        </w:rPr>
      </w:pPr>
    </w:p>
    <w:sectPr w:rsidR="00CE1D15" w:rsidRPr="006F09CC" w:rsidSect="008926D7">
      <w:headerReference w:type="default" r:id="rId15"/>
      <w:type w:val="continuous"/>
      <w:pgSz w:w="11906" w:h="16838" w:code="9"/>
      <w:pgMar w:top="1440" w:right="1440" w:bottom="1440" w:left="1440" w:header="1008" w:footer="706" w:gutter="0"/>
      <w:pgNumType w:start="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259C" w14:textId="77777777" w:rsidR="008861B5" w:rsidRDefault="008861B5" w:rsidP="007419B7">
      <w:pPr>
        <w:spacing w:after="0" w:line="240" w:lineRule="auto"/>
      </w:pPr>
      <w:r>
        <w:separator/>
      </w:r>
    </w:p>
  </w:endnote>
  <w:endnote w:type="continuationSeparator" w:id="0">
    <w:p w14:paraId="4140FE25" w14:textId="77777777" w:rsidR="008861B5" w:rsidRDefault="008861B5" w:rsidP="0074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ACA1" w14:textId="77777777" w:rsidR="008861B5" w:rsidRDefault="008861B5" w:rsidP="007419B7">
      <w:pPr>
        <w:spacing w:after="0" w:line="240" w:lineRule="auto"/>
      </w:pPr>
      <w:r>
        <w:separator/>
      </w:r>
    </w:p>
  </w:footnote>
  <w:footnote w:type="continuationSeparator" w:id="0">
    <w:p w14:paraId="05236423" w14:textId="77777777" w:rsidR="008861B5" w:rsidRDefault="008861B5" w:rsidP="0074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9EDA" w14:textId="77777777" w:rsidR="00042FF0" w:rsidRPr="008926D7" w:rsidRDefault="008926D7" w:rsidP="008926D7">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Pr>
        <w:rFonts w:ascii="Arial" w:hAnsi="Arial" w:cs="Arial"/>
        <w:i/>
        <w:iCs/>
        <w:sz w:val="16"/>
        <w:szCs w:val="16"/>
      </w:rPr>
      <w:t>Kruthishree</w:t>
    </w:r>
    <w:proofErr w:type="spellEnd"/>
    <w:r>
      <w:rPr>
        <w:rFonts w:ascii="Arial" w:hAnsi="Arial" w:cs="Arial"/>
        <w:i/>
        <w:iCs/>
        <w:sz w:val="16"/>
        <w:szCs w:val="16"/>
      </w:rPr>
      <w:t xml:space="preserve"> M Kiran, Dr. Pooja Nagpal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73</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B479" w14:textId="77777777" w:rsidR="00042FF0" w:rsidRPr="008926D7" w:rsidRDefault="008926D7" w:rsidP="008926D7">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72</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DC6F" w14:textId="77777777" w:rsidR="008926D7" w:rsidRPr="008926D7" w:rsidRDefault="008926D7" w:rsidP="008926D7">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72</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AE2" w14:textId="77777777" w:rsidR="008926D7" w:rsidRPr="008926D7" w:rsidRDefault="008926D7" w:rsidP="008926D7">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72</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08"/>
    <w:multiLevelType w:val="hybridMultilevel"/>
    <w:tmpl w:val="9A8A4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461FB2"/>
    <w:multiLevelType w:val="hybridMultilevel"/>
    <w:tmpl w:val="55EE1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B90314"/>
    <w:multiLevelType w:val="hybridMultilevel"/>
    <w:tmpl w:val="A4BAF6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9B4F29"/>
    <w:multiLevelType w:val="hybridMultilevel"/>
    <w:tmpl w:val="40B275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345D88"/>
    <w:multiLevelType w:val="hybridMultilevel"/>
    <w:tmpl w:val="037E47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660618"/>
    <w:multiLevelType w:val="hybridMultilevel"/>
    <w:tmpl w:val="88524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2810E9"/>
    <w:multiLevelType w:val="hybridMultilevel"/>
    <w:tmpl w:val="E6F4A8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D83113"/>
    <w:multiLevelType w:val="hybridMultilevel"/>
    <w:tmpl w:val="A9603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3E58A9"/>
    <w:multiLevelType w:val="hybridMultilevel"/>
    <w:tmpl w:val="1E8AF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082EA5"/>
    <w:multiLevelType w:val="hybridMultilevel"/>
    <w:tmpl w:val="6D7A62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B9337A"/>
    <w:multiLevelType w:val="hybridMultilevel"/>
    <w:tmpl w:val="F65E1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EF7C51"/>
    <w:multiLevelType w:val="hybridMultilevel"/>
    <w:tmpl w:val="0BBC9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A82028"/>
    <w:multiLevelType w:val="hybridMultilevel"/>
    <w:tmpl w:val="942835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E04E4C"/>
    <w:multiLevelType w:val="hybridMultilevel"/>
    <w:tmpl w:val="F1AE3E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9245443"/>
    <w:multiLevelType w:val="hybridMultilevel"/>
    <w:tmpl w:val="B270F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9C09B7"/>
    <w:multiLevelType w:val="hybridMultilevel"/>
    <w:tmpl w:val="E05819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C1945A4"/>
    <w:multiLevelType w:val="hybridMultilevel"/>
    <w:tmpl w:val="BA840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9452569"/>
    <w:multiLevelType w:val="hybridMultilevel"/>
    <w:tmpl w:val="B2A05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F16C1D"/>
    <w:multiLevelType w:val="hybridMultilevel"/>
    <w:tmpl w:val="B9A0A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A471C49"/>
    <w:multiLevelType w:val="hybridMultilevel"/>
    <w:tmpl w:val="C7767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C057E4F"/>
    <w:multiLevelType w:val="hybridMultilevel"/>
    <w:tmpl w:val="BB36B8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D850431"/>
    <w:multiLevelType w:val="hybridMultilevel"/>
    <w:tmpl w:val="029C9B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7271998"/>
    <w:multiLevelType w:val="hybridMultilevel"/>
    <w:tmpl w:val="3376B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DD7BFC"/>
    <w:multiLevelType w:val="hybridMultilevel"/>
    <w:tmpl w:val="88524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CB9315D"/>
    <w:multiLevelType w:val="hybridMultilevel"/>
    <w:tmpl w:val="02B05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FF71B5C"/>
    <w:multiLevelType w:val="hybridMultilevel"/>
    <w:tmpl w:val="B79E9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DA734A9"/>
    <w:multiLevelType w:val="hybridMultilevel"/>
    <w:tmpl w:val="C8948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693C43"/>
    <w:multiLevelType w:val="hybridMultilevel"/>
    <w:tmpl w:val="14B84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FB92CB3"/>
    <w:multiLevelType w:val="hybridMultilevel"/>
    <w:tmpl w:val="03BA3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6509294">
    <w:abstractNumId w:val="1"/>
  </w:num>
  <w:num w:numId="2" w16cid:durableId="786972135">
    <w:abstractNumId w:val="13"/>
  </w:num>
  <w:num w:numId="3" w16cid:durableId="501893204">
    <w:abstractNumId w:val="10"/>
  </w:num>
  <w:num w:numId="4" w16cid:durableId="1601334085">
    <w:abstractNumId w:val="0"/>
  </w:num>
  <w:num w:numId="5" w16cid:durableId="1053428224">
    <w:abstractNumId w:val="19"/>
  </w:num>
  <w:num w:numId="6" w16cid:durableId="1862552553">
    <w:abstractNumId w:val="18"/>
  </w:num>
  <w:num w:numId="7" w16cid:durableId="1474180802">
    <w:abstractNumId w:val="22"/>
  </w:num>
  <w:num w:numId="8" w16cid:durableId="530071047">
    <w:abstractNumId w:val="25"/>
  </w:num>
  <w:num w:numId="9" w16cid:durableId="389116030">
    <w:abstractNumId w:val="24"/>
  </w:num>
  <w:num w:numId="10" w16cid:durableId="1130518036">
    <w:abstractNumId w:val="9"/>
  </w:num>
  <w:num w:numId="11" w16cid:durableId="1175994203">
    <w:abstractNumId w:val="2"/>
  </w:num>
  <w:num w:numId="12" w16cid:durableId="1612473300">
    <w:abstractNumId w:val="27"/>
  </w:num>
  <w:num w:numId="13" w16cid:durableId="48844826">
    <w:abstractNumId w:val="16"/>
  </w:num>
  <w:num w:numId="14" w16cid:durableId="727798766">
    <w:abstractNumId w:val="26"/>
  </w:num>
  <w:num w:numId="15" w16cid:durableId="1969584242">
    <w:abstractNumId w:val="28"/>
  </w:num>
  <w:num w:numId="16" w16cid:durableId="1405058163">
    <w:abstractNumId w:val="4"/>
  </w:num>
  <w:num w:numId="17" w16cid:durableId="2091388816">
    <w:abstractNumId w:val="17"/>
  </w:num>
  <w:num w:numId="18" w16cid:durableId="573322230">
    <w:abstractNumId w:val="8"/>
  </w:num>
  <w:num w:numId="19" w16cid:durableId="233975688">
    <w:abstractNumId w:val="21"/>
  </w:num>
  <w:num w:numId="20" w16cid:durableId="927887176">
    <w:abstractNumId w:val="7"/>
  </w:num>
  <w:num w:numId="21" w16cid:durableId="2134518286">
    <w:abstractNumId w:val="6"/>
  </w:num>
  <w:num w:numId="22" w16cid:durableId="179395170">
    <w:abstractNumId w:val="20"/>
  </w:num>
  <w:num w:numId="23" w16cid:durableId="224068251">
    <w:abstractNumId w:val="12"/>
  </w:num>
  <w:num w:numId="24" w16cid:durableId="244725010">
    <w:abstractNumId w:val="3"/>
  </w:num>
  <w:num w:numId="25" w16cid:durableId="1488403629">
    <w:abstractNumId w:val="5"/>
  </w:num>
  <w:num w:numId="26" w16cid:durableId="658584242">
    <w:abstractNumId w:val="14"/>
  </w:num>
  <w:num w:numId="27" w16cid:durableId="483199537">
    <w:abstractNumId w:val="11"/>
  </w:num>
  <w:num w:numId="28" w16cid:durableId="811679593">
    <w:abstractNumId w:val="23"/>
  </w:num>
  <w:num w:numId="29" w16cid:durableId="1920212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B0"/>
    <w:rsid w:val="00005F36"/>
    <w:rsid w:val="00042FF0"/>
    <w:rsid w:val="000C7255"/>
    <w:rsid w:val="00187C54"/>
    <w:rsid w:val="003147A7"/>
    <w:rsid w:val="00331EF6"/>
    <w:rsid w:val="00370CB0"/>
    <w:rsid w:val="003C1433"/>
    <w:rsid w:val="0049568C"/>
    <w:rsid w:val="005663CC"/>
    <w:rsid w:val="005924F2"/>
    <w:rsid w:val="00632737"/>
    <w:rsid w:val="006F09CC"/>
    <w:rsid w:val="00712CE2"/>
    <w:rsid w:val="007419B7"/>
    <w:rsid w:val="00776D32"/>
    <w:rsid w:val="0078499C"/>
    <w:rsid w:val="007D5194"/>
    <w:rsid w:val="007D5252"/>
    <w:rsid w:val="007E70F3"/>
    <w:rsid w:val="008861B5"/>
    <w:rsid w:val="008926D7"/>
    <w:rsid w:val="00A53022"/>
    <w:rsid w:val="00AB2565"/>
    <w:rsid w:val="00AB2DBB"/>
    <w:rsid w:val="00AD473B"/>
    <w:rsid w:val="00B364AA"/>
    <w:rsid w:val="00BD54A3"/>
    <w:rsid w:val="00BF5A5A"/>
    <w:rsid w:val="00C05C58"/>
    <w:rsid w:val="00C10622"/>
    <w:rsid w:val="00CB38F2"/>
    <w:rsid w:val="00CE1D15"/>
    <w:rsid w:val="00D953BD"/>
    <w:rsid w:val="00E4182A"/>
    <w:rsid w:val="00E575A8"/>
    <w:rsid w:val="00EB6929"/>
    <w:rsid w:val="00F35E60"/>
    <w:rsid w:val="00F85FF3"/>
    <w:rsid w:val="00F97A9A"/>
    <w:rsid w:val="00FE261F"/>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1DE5C"/>
  <w15:chartTrackingRefBased/>
  <w15:docId w15:val="{951EC80A-935E-4A6F-A5FA-752C9C1A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58"/>
    <w:pPr>
      <w:ind w:left="720"/>
      <w:contextualSpacing/>
    </w:pPr>
  </w:style>
  <w:style w:type="table" w:styleId="TableGrid">
    <w:name w:val="Table Grid"/>
    <w:basedOn w:val="TableNormal"/>
    <w:uiPriority w:val="39"/>
    <w:rsid w:val="0074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9B7"/>
    <w:rPr>
      <w:color w:val="0000FF"/>
      <w:u w:val="single"/>
    </w:rPr>
  </w:style>
  <w:style w:type="paragraph" w:styleId="Header">
    <w:name w:val="header"/>
    <w:basedOn w:val="Normal"/>
    <w:link w:val="HeaderChar"/>
    <w:uiPriority w:val="99"/>
    <w:unhideWhenUsed/>
    <w:rsid w:val="00741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9B7"/>
  </w:style>
  <w:style w:type="paragraph" w:styleId="Footer">
    <w:name w:val="footer"/>
    <w:basedOn w:val="Normal"/>
    <w:link w:val="FooterChar"/>
    <w:uiPriority w:val="99"/>
    <w:unhideWhenUsed/>
    <w:rsid w:val="00741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9B7"/>
  </w:style>
  <w:style w:type="character" w:styleId="UnresolvedMention">
    <w:name w:val="Unresolved Mention"/>
    <w:basedOn w:val="DefaultParagraphFont"/>
    <w:uiPriority w:val="99"/>
    <w:semiHidden/>
    <w:unhideWhenUsed/>
    <w:rsid w:val="00CE1D15"/>
    <w:rPr>
      <w:color w:val="605E5C"/>
      <w:shd w:val="clear" w:color="auto" w:fill="E1DFDD"/>
    </w:rPr>
  </w:style>
  <w:style w:type="character" w:styleId="FollowedHyperlink">
    <w:name w:val="FollowedHyperlink"/>
    <w:basedOn w:val="DefaultParagraphFont"/>
    <w:uiPriority w:val="99"/>
    <w:semiHidden/>
    <w:unhideWhenUsed/>
    <w:rsid w:val="007D51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7826196"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rrapinn.co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0AF7-BA50-4C18-985F-D5223677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1276</Words>
  <Characters>8346</Characters>
  <Application>Microsoft Office Word</Application>
  <DocSecurity>0</DocSecurity>
  <Lines>269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CMS-STAFF138</dc:creator>
  <cp:keywords/>
  <dc:description/>
  <cp:lastModifiedBy>Ravi chandran</cp:lastModifiedBy>
  <cp:revision>15</cp:revision>
  <dcterms:created xsi:type="dcterms:W3CDTF">2025-12-04T04:41:00Z</dcterms:created>
  <dcterms:modified xsi:type="dcterms:W3CDTF">2025-12-05T06:52:00Z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2025-12-05T06:52:22Z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64fc8e69-9083-47a8-ab37-58b5c420d972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